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jc w:val="center"/>
        <w:rPr>
          <w:rFonts w:ascii="黑体" w:eastAsia="黑体" w:hAnsi="黑体" w:cs="黑体"/>
          <w:sz w:val="36"/>
          <w:szCs w:val="36"/>
        </w:rPr>
      </w:pPr>
      <w:r>
        <w:rPr>
          <w:rFonts w:ascii="黑体" w:eastAsia="黑体" w:hAnsi="黑体" w:cs="黑体" w:hint="eastAsia"/>
          <w:sz w:val="36"/>
          <w:szCs w:val="36"/>
        </w:rPr>
        <w:t>通用技术集团财务有限责任公司</w:t>
      </w:r>
    </w:p>
    <w:p w:rsidR="001F367C" w:rsidRDefault="00A44058">
      <w:pPr>
        <w:jc w:val="center"/>
        <w:rPr>
          <w:rFonts w:ascii="黑体" w:eastAsia="黑体" w:hAnsi="黑体" w:cs="黑体"/>
          <w:sz w:val="36"/>
          <w:szCs w:val="36"/>
        </w:rPr>
      </w:pPr>
      <w:r>
        <w:rPr>
          <w:rFonts w:ascii="黑体" w:eastAsia="黑体" w:hAnsi="黑体" w:cs="黑体" w:hint="eastAsia"/>
          <w:sz w:val="36"/>
          <w:szCs w:val="36"/>
        </w:rPr>
        <w:t>2024年第</w:t>
      </w:r>
      <w:r w:rsidR="003530BE">
        <w:rPr>
          <w:rFonts w:ascii="黑体" w:eastAsia="黑体" w:hAnsi="黑体" w:cs="黑体" w:hint="eastAsia"/>
          <w:sz w:val="36"/>
          <w:szCs w:val="36"/>
        </w:rPr>
        <w:t>四</w:t>
      </w:r>
      <w:r>
        <w:rPr>
          <w:rFonts w:ascii="黑体" w:eastAsia="黑体" w:hAnsi="黑体" w:cs="黑体" w:hint="eastAsia"/>
          <w:sz w:val="36"/>
          <w:szCs w:val="36"/>
        </w:rPr>
        <w:t>季度第三支柱信息披露报告</w:t>
      </w: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sdt>
      <w:sdtPr>
        <w:rPr>
          <w:rFonts w:ascii="宋体" w:eastAsia="宋体" w:hAnsi="宋体"/>
          <w:sz w:val="44"/>
          <w:szCs w:val="44"/>
        </w:rPr>
        <w:id w:val="147471422"/>
        <w15:color w:val="DBDBDB"/>
        <w:docPartObj>
          <w:docPartGallery w:val="Table of Contents"/>
          <w:docPartUnique/>
        </w:docPartObj>
      </w:sdtPr>
      <w:sdtEndPr>
        <w:rPr>
          <w:rFonts w:ascii="黑体" w:eastAsia="黑体" w:hAnsi="黑体" w:cs="黑体" w:hint="eastAsia"/>
          <w:b/>
          <w:sz w:val="21"/>
          <w:szCs w:val="36"/>
        </w:rPr>
      </w:sdtEndPr>
      <w:sdtContent>
        <w:p w:rsidR="001F367C" w:rsidRDefault="00A44058">
          <w:pPr>
            <w:jc w:val="center"/>
            <w:rPr>
              <w:rFonts w:ascii="宋体" w:eastAsia="宋体" w:hAnsi="宋体"/>
              <w:sz w:val="44"/>
              <w:szCs w:val="44"/>
            </w:rPr>
          </w:pPr>
          <w:r>
            <w:rPr>
              <w:rFonts w:ascii="宋体" w:eastAsia="宋体" w:hAnsi="宋体"/>
              <w:sz w:val="44"/>
              <w:szCs w:val="44"/>
            </w:rPr>
            <w:t>目录</w:t>
          </w:r>
        </w:p>
        <w:p w:rsidR="001F367C" w:rsidRDefault="001F367C">
          <w:pPr>
            <w:jc w:val="center"/>
            <w:rPr>
              <w:rFonts w:ascii="宋体" w:eastAsia="宋体" w:hAnsi="宋体"/>
              <w:sz w:val="44"/>
              <w:szCs w:val="44"/>
            </w:rPr>
          </w:pPr>
        </w:p>
        <w:p w:rsidR="006662D9" w:rsidRDefault="00A44058">
          <w:pPr>
            <w:pStyle w:val="1"/>
            <w:tabs>
              <w:tab w:val="right" w:leader="dot" w:pos="8296"/>
            </w:tabs>
            <w:rPr>
              <w:noProof/>
              <w:szCs w:val="22"/>
            </w:rPr>
          </w:pPr>
          <w:r>
            <w:rPr>
              <w:rFonts w:ascii="黑体" w:eastAsia="黑体" w:hAnsi="黑体" w:cs="黑体" w:hint="eastAsia"/>
              <w:kern w:val="0"/>
              <w:sz w:val="36"/>
              <w:szCs w:val="36"/>
            </w:rPr>
            <w:fldChar w:fldCharType="begin"/>
          </w:r>
          <w:r>
            <w:rPr>
              <w:rFonts w:ascii="黑体" w:eastAsia="黑体" w:hAnsi="黑体" w:cs="黑体" w:hint="eastAsia"/>
              <w:sz w:val="36"/>
              <w:szCs w:val="36"/>
            </w:rPr>
            <w:instrText xml:space="preserve">TOC \o "1-2" \h \u </w:instrText>
          </w:r>
          <w:r>
            <w:rPr>
              <w:rFonts w:ascii="黑体" w:eastAsia="黑体" w:hAnsi="黑体" w:cs="黑体" w:hint="eastAsia"/>
              <w:kern w:val="0"/>
              <w:sz w:val="36"/>
              <w:szCs w:val="36"/>
            </w:rPr>
            <w:fldChar w:fldCharType="separate"/>
          </w:r>
          <w:hyperlink w:anchor="_Toc173232665" w:history="1">
            <w:r w:rsidR="006662D9" w:rsidRPr="00925400">
              <w:rPr>
                <w:rStyle w:val="a3"/>
                <w:rFonts w:ascii="黑体" w:eastAsia="黑体" w:hAnsi="黑体" w:cs="黑体"/>
                <w:noProof/>
              </w:rPr>
              <w:t>1引言</w:t>
            </w:r>
            <w:r w:rsidR="006662D9">
              <w:rPr>
                <w:noProof/>
              </w:rPr>
              <w:tab/>
            </w:r>
            <w:r w:rsidR="006662D9">
              <w:rPr>
                <w:noProof/>
              </w:rPr>
              <w:fldChar w:fldCharType="begin"/>
            </w:r>
            <w:r w:rsidR="006662D9">
              <w:rPr>
                <w:noProof/>
              </w:rPr>
              <w:instrText xml:space="preserve"> PAGEREF _Toc173232665 \h </w:instrText>
            </w:r>
            <w:r w:rsidR="006662D9">
              <w:rPr>
                <w:noProof/>
              </w:rPr>
            </w:r>
            <w:r w:rsidR="006662D9">
              <w:rPr>
                <w:noProof/>
              </w:rPr>
              <w:fldChar w:fldCharType="separate"/>
            </w:r>
            <w:r w:rsidR="006662D9">
              <w:rPr>
                <w:noProof/>
              </w:rPr>
              <w:t>3</w:t>
            </w:r>
            <w:r w:rsidR="006662D9">
              <w:rPr>
                <w:noProof/>
              </w:rPr>
              <w:fldChar w:fldCharType="end"/>
            </w:r>
          </w:hyperlink>
        </w:p>
        <w:p w:rsidR="006662D9" w:rsidRDefault="00AC0237">
          <w:pPr>
            <w:pStyle w:val="2"/>
            <w:tabs>
              <w:tab w:val="right" w:leader="dot" w:pos="8296"/>
            </w:tabs>
            <w:rPr>
              <w:noProof/>
              <w:szCs w:val="22"/>
            </w:rPr>
          </w:pPr>
          <w:hyperlink w:anchor="_Toc173232666" w:history="1">
            <w:r w:rsidR="006662D9" w:rsidRPr="00925400">
              <w:rPr>
                <w:rStyle w:val="a3"/>
                <w:rFonts w:eastAsia="黑体"/>
                <w:noProof/>
              </w:rPr>
              <w:t xml:space="preserve">1.1 </w:t>
            </w:r>
            <w:r w:rsidR="006662D9" w:rsidRPr="00925400">
              <w:rPr>
                <w:rStyle w:val="a3"/>
                <w:rFonts w:eastAsia="黑体"/>
                <w:noProof/>
              </w:rPr>
              <w:t>披露依据</w:t>
            </w:r>
            <w:r w:rsidR="006662D9">
              <w:rPr>
                <w:noProof/>
              </w:rPr>
              <w:tab/>
            </w:r>
            <w:r w:rsidR="006662D9">
              <w:rPr>
                <w:noProof/>
              </w:rPr>
              <w:fldChar w:fldCharType="begin"/>
            </w:r>
            <w:r w:rsidR="006662D9">
              <w:rPr>
                <w:noProof/>
              </w:rPr>
              <w:instrText xml:space="preserve"> PAGEREF _Toc173232666 \h </w:instrText>
            </w:r>
            <w:r w:rsidR="006662D9">
              <w:rPr>
                <w:noProof/>
              </w:rPr>
            </w:r>
            <w:r w:rsidR="006662D9">
              <w:rPr>
                <w:noProof/>
              </w:rPr>
              <w:fldChar w:fldCharType="separate"/>
            </w:r>
            <w:r w:rsidR="006662D9">
              <w:rPr>
                <w:noProof/>
              </w:rPr>
              <w:t>3</w:t>
            </w:r>
            <w:r w:rsidR="006662D9">
              <w:rPr>
                <w:noProof/>
              </w:rPr>
              <w:fldChar w:fldCharType="end"/>
            </w:r>
          </w:hyperlink>
        </w:p>
        <w:p w:rsidR="006662D9" w:rsidRDefault="00AC0237">
          <w:pPr>
            <w:pStyle w:val="2"/>
            <w:tabs>
              <w:tab w:val="right" w:leader="dot" w:pos="8296"/>
            </w:tabs>
            <w:rPr>
              <w:noProof/>
              <w:szCs w:val="22"/>
            </w:rPr>
          </w:pPr>
          <w:hyperlink w:anchor="_Toc173232667" w:history="1">
            <w:r w:rsidR="006662D9" w:rsidRPr="00925400">
              <w:rPr>
                <w:rStyle w:val="a3"/>
                <w:rFonts w:eastAsia="黑体"/>
                <w:noProof/>
              </w:rPr>
              <w:t xml:space="preserve">1.2 </w:t>
            </w:r>
            <w:r w:rsidR="006662D9" w:rsidRPr="00925400">
              <w:rPr>
                <w:rStyle w:val="a3"/>
                <w:rFonts w:eastAsia="黑体"/>
                <w:noProof/>
              </w:rPr>
              <w:t>披露声明</w:t>
            </w:r>
            <w:r w:rsidR="006662D9">
              <w:rPr>
                <w:noProof/>
              </w:rPr>
              <w:tab/>
            </w:r>
            <w:r w:rsidR="006662D9">
              <w:rPr>
                <w:noProof/>
              </w:rPr>
              <w:fldChar w:fldCharType="begin"/>
            </w:r>
            <w:r w:rsidR="006662D9">
              <w:rPr>
                <w:noProof/>
              </w:rPr>
              <w:instrText xml:space="preserve"> PAGEREF _Toc173232667 \h </w:instrText>
            </w:r>
            <w:r w:rsidR="006662D9">
              <w:rPr>
                <w:noProof/>
              </w:rPr>
            </w:r>
            <w:r w:rsidR="006662D9">
              <w:rPr>
                <w:noProof/>
              </w:rPr>
              <w:fldChar w:fldCharType="separate"/>
            </w:r>
            <w:r w:rsidR="006662D9">
              <w:rPr>
                <w:noProof/>
              </w:rPr>
              <w:t>3</w:t>
            </w:r>
            <w:r w:rsidR="006662D9">
              <w:rPr>
                <w:noProof/>
              </w:rPr>
              <w:fldChar w:fldCharType="end"/>
            </w:r>
          </w:hyperlink>
        </w:p>
        <w:p w:rsidR="006662D9" w:rsidRDefault="00AC0237">
          <w:pPr>
            <w:pStyle w:val="1"/>
            <w:tabs>
              <w:tab w:val="right" w:leader="dot" w:pos="8296"/>
            </w:tabs>
            <w:rPr>
              <w:noProof/>
              <w:szCs w:val="22"/>
            </w:rPr>
          </w:pPr>
          <w:hyperlink w:anchor="_Toc173232668" w:history="1">
            <w:r w:rsidR="006662D9" w:rsidRPr="00925400">
              <w:rPr>
                <w:rStyle w:val="a3"/>
                <w:rFonts w:ascii="黑体" w:eastAsia="黑体" w:hAnsi="黑体" w:cs="黑体"/>
                <w:noProof/>
              </w:rPr>
              <w:t>2</w:t>
            </w:r>
            <w:r w:rsidR="006662D9" w:rsidRPr="00925400">
              <w:rPr>
                <w:rStyle w:val="a3"/>
                <w:rFonts w:ascii="黑体" w:eastAsia="黑体" w:hAnsi="黑体" w:cs="黑体"/>
                <w:bCs/>
                <w:noProof/>
                <w:kern w:val="0"/>
                <w:lang w:bidi="ar"/>
              </w:rPr>
              <w:t>关键审慎监管指标概览</w:t>
            </w:r>
            <w:r w:rsidR="006662D9">
              <w:rPr>
                <w:noProof/>
              </w:rPr>
              <w:tab/>
            </w:r>
            <w:r w:rsidR="006662D9">
              <w:rPr>
                <w:noProof/>
              </w:rPr>
              <w:fldChar w:fldCharType="begin"/>
            </w:r>
            <w:r w:rsidR="006662D9">
              <w:rPr>
                <w:noProof/>
              </w:rPr>
              <w:instrText xml:space="preserve"> PAGEREF _Toc173232668 \h </w:instrText>
            </w:r>
            <w:r w:rsidR="006662D9">
              <w:rPr>
                <w:noProof/>
              </w:rPr>
            </w:r>
            <w:r w:rsidR="006662D9">
              <w:rPr>
                <w:noProof/>
              </w:rPr>
              <w:fldChar w:fldCharType="separate"/>
            </w:r>
            <w:r w:rsidR="006662D9">
              <w:rPr>
                <w:noProof/>
              </w:rPr>
              <w:t>4</w:t>
            </w:r>
            <w:r w:rsidR="006662D9">
              <w:rPr>
                <w:noProof/>
              </w:rPr>
              <w:fldChar w:fldCharType="end"/>
            </w:r>
          </w:hyperlink>
        </w:p>
        <w:p w:rsidR="006662D9" w:rsidRDefault="00AC0237">
          <w:pPr>
            <w:pStyle w:val="1"/>
            <w:tabs>
              <w:tab w:val="right" w:leader="dot" w:pos="8296"/>
            </w:tabs>
            <w:rPr>
              <w:noProof/>
              <w:szCs w:val="22"/>
            </w:rPr>
          </w:pPr>
          <w:hyperlink w:anchor="_Toc173232669" w:history="1">
            <w:r w:rsidR="006662D9" w:rsidRPr="00925400">
              <w:rPr>
                <w:rStyle w:val="a3"/>
                <w:rFonts w:ascii="黑体" w:eastAsia="黑体" w:hAnsi="黑体" w:cs="黑体"/>
                <w:noProof/>
              </w:rPr>
              <w:t>3</w:t>
            </w:r>
            <w:r w:rsidR="006662D9" w:rsidRPr="00925400">
              <w:rPr>
                <w:rStyle w:val="a3"/>
                <w:rFonts w:ascii="黑体" w:eastAsia="黑体" w:hAnsi="黑体" w:cs="黑体"/>
                <w:bCs/>
                <w:noProof/>
                <w:kern w:val="0"/>
                <w:lang w:bidi="ar"/>
              </w:rPr>
              <w:t>资本构成</w:t>
            </w:r>
            <w:r w:rsidR="006662D9">
              <w:rPr>
                <w:noProof/>
              </w:rPr>
              <w:tab/>
            </w:r>
            <w:r w:rsidR="006662D9">
              <w:rPr>
                <w:noProof/>
              </w:rPr>
              <w:fldChar w:fldCharType="begin"/>
            </w:r>
            <w:r w:rsidR="006662D9">
              <w:rPr>
                <w:noProof/>
              </w:rPr>
              <w:instrText xml:space="preserve"> PAGEREF _Toc173232669 \h </w:instrText>
            </w:r>
            <w:r w:rsidR="006662D9">
              <w:rPr>
                <w:noProof/>
              </w:rPr>
            </w:r>
            <w:r w:rsidR="006662D9">
              <w:rPr>
                <w:noProof/>
              </w:rPr>
              <w:fldChar w:fldCharType="separate"/>
            </w:r>
            <w:r w:rsidR="006662D9">
              <w:rPr>
                <w:noProof/>
              </w:rPr>
              <w:t>6</w:t>
            </w:r>
            <w:r w:rsidR="006662D9">
              <w:rPr>
                <w:noProof/>
              </w:rPr>
              <w:fldChar w:fldCharType="end"/>
            </w:r>
          </w:hyperlink>
        </w:p>
        <w:p w:rsidR="001F367C" w:rsidRDefault="00A44058">
          <w:pPr>
            <w:jc w:val="center"/>
            <w:rPr>
              <w:rFonts w:ascii="黑体" w:eastAsia="黑体" w:hAnsi="黑体" w:cs="黑体"/>
              <w:sz w:val="36"/>
              <w:szCs w:val="36"/>
            </w:rPr>
          </w:pPr>
          <w:r>
            <w:rPr>
              <w:rFonts w:ascii="黑体" w:eastAsia="黑体" w:hAnsi="黑体" w:cs="黑体" w:hint="eastAsia"/>
              <w:b/>
              <w:szCs w:val="36"/>
            </w:rPr>
            <w:fldChar w:fldCharType="end"/>
          </w:r>
        </w:p>
      </w:sdtContent>
    </w:sdt>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rPr>
          <w:rFonts w:ascii="黑体" w:eastAsia="黑体" w:hAnsi="黑体" w:cs="黑体"/>
          <w:sz w:val="36"/>
          <w:szCs w:val="36"/>
        </w:rPr>
      </w:pPr>
      <w:r>
        <w:rPr>
          <w:rFonts w:ascii="黑体" w:eastAsia="黑体" w:hAnsi="黑体" w:cs="黑体" w:hint="eastAsia"/>
          <w:sz w:val="36"/>
          <w:szCs w:val="36"/>
        </w:rPr>
        <w:br w:type="page"/>
      </w:r>
    </w:p>
    <w:p w:rsidR="001F367C" w:rsidRDefault="001F367C">
      <w:pPr>
        <w:jc w:val="center"/>
        <w:rPr>
          <w:rFonts w:ascii="黑体" w:eastAsia="黑体" w:hAnsi="黑体" w:cs="黑体"/>
          <w:sz w:val="36"/>
          <w:szCs w:val="36"/>
        </w:rPr>
      </w:pPr>
    </w:p>
    <w:bookmarkStart w:id="0" w:name="_Toc173232665" w:displacedByCustomXml="next"/>
    <w:sdt>
      <w:sdtPr>
        <w:rPr>
          <w:rFonts w:ascii="黑体" w:eastAsia="黑体" w:hAnsi="黑体" w:cs="黑体"/>
          <w:sz w:val="36"/>
          <w:szCs w:val="36"/>
        </w:rPr>
        <w:id w:val="-29964183"/>
        <w:placeholder>
          <w:docPart w:val="{8a0625b0-180b-4e5e-83a0-8736dcd4bb68}"/>
        </w:placeholder>
        <w15:color w:val="509DF3"/>
      </w:sdtPr>
      <w:sdtEndPr/>
      <w:sdtContent>
        <w:p w:rsidR="001F367C" w:rsidRDefault="00A44058">
          <w:pPr>
            <w:spacing w:line="360" w:lineRule="auto"/>
            <w:jc w:val="left"/>
            <w:outlineLvl w:val="0"/>
            <w:rPr>
              <w:rFonts w:ascii="黑体" w:eastAsia="黑体" w:hAnsi="黑体" w:cs="黑体"/>
              <w:sz w:val="36"/>
              <w:szCs w:val="36"/>
            </w:rPr>
          </w:pPr>
          <w:r>
            <w:rPr>
              <w:rFonts w:ascii="黑体" w:eastAsia="黑体" w:hAnsi="黑体" w:cs="黑体" w:hint="eastAsia"/>
              <w:sz w:val="36"/>
              <w:szCs w:val="36"/>
            </w:rPr>
            <w:t>1引言</w:t>
          </w:r>
        </w:p>
      </w:sdtContent>
    </w:sdt>
    <w:bookmarkEnd w:id="0" w:displacedByCustomXml="prev"/>
    <w:p w:rsidR="001F367C" w:rsidRDefault="00A44058">
      <w:pPr>
        <w:spacing w:line="360" w:lineRule="auto"/>
        <w:jc w:val="left"/>
        <w:outlineLvl w:val="1"/>
        <w:rPr>
          <w:rFonts w:ascii="黑体" w:eastAsia="黑体" w:hAnsi="黑体" w:cs="黑体"/>
          <w:sz w:val="28"/>
          <w:szCs w:val="28"/>
        </w:rPr>
      </w:pPr>
      <w:bookmarkStart w:id="1" w:name="_Toc173232666"/>
      <w:r>
        <w:rPr>
          <w:rFonts w:eastAsia="黑体" w:hint="eastAsia"/>
          <w:sz w:val="24"/>
        </w:rPr>
        <w:t xml:space="preserve">1.1 </w:t>
      </w:r>
      <w:r>
        <w:rPr>
          <w:rFonts w:eastAsia="黑体" w:hint="eastAsia"/>
          <w:sz w:val="24"/>
        </w:rPr>
        <w:t>披露依据</w:t>
      </w:r>
      <w:bookmarkEnd w:id="1"/>
    </w:p>
    <w:p w:rsidR="001F367C" w:rsidRDefault="00A44058">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本报告根据国家金融监督管理</w:t>
      </w:r>
      <w:proofErr w:type="gramStart"/>
      <w:r>
        <w:rPr>
          <w:rFonts w:ascii="宋体" w:eastAsia="宋体" w:hAnsi="宋体" w:cs="宋体" w:hint="eastAsia"/>
          <w:color w:val="000000"/>
          <w:kern w:val="0"/>
          <w:sz w:val="24"/>
          <w:lang w:bidi="ar"/>
        </w:rPr>
        <w:t>总局令第</w:t>
      </w:r>
      <w:proofErr w:type="gramEnd"/>
      <w:r>
        <w:rPr>
          <w:rFonts w:ascii="宋体" w:eastAsia="宋体" w:hAnsi="宋体" w:cs="宋体" w:hint="eastAsia"/>
          <w:color w:val="000000"/>
          <w:kern w:val="0"/>
          <w:sz w:val="24"/>
          <w:lang w:bidi="ar"/>
        </w:rPr>
        <w:t xml:space="preserve"> 4 号《商业银行资本管理办法》编制并披露。</w:t>
      </w:r>
    </w:p>
    <w:p w:rsidR="001F367C" w:rsidRDefault="00A44058">
      <w:pPr>
        <w:spacing w:line="360" w:lineRule="auto"/>
        <w:jc w:val="left"/>
        <w:outlineLvl w:val="1"/>
        <w:rPr>
          <w:rFonts w:ascii="黑体" w:eastAsia="黑体" w:hAnsi="黑体" w:cs="黑体"/>
          <w:sz w:val="28"/>
          <w:szCs w:val="28"/>
        </w:rPr>
      </w:pPr>
      <w:bookmarkStart w:id="2" w:name="_Toc173232667"/>
      <w:r>
        <w:rPr>
          <w:rFonts w:eastAsia="黑体" w:hint="eastAsia"/>
          <w:sz w:val="24"/>
        </w:rPr>
        <w:t xml:space="preserve">1.2 </w:t>
      </w:r>
      <w:r>
        <w:rPr>
          <w:rFonts w:eastAsia="黑体" w:hint="eastAsia"/>
          <w:sz w:val="24"/>
        </w:rPr>
        <w:t>披露声明</w:t>
      </w:r>
      <w:bookmarkEnd w:id="2"/>
    </w:p>
    <w:p w:rsidR="001F367C" w:rsidRDefault="00A44058">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本报告是按照国家金融监督管理总局《商业银行资本管理办法》正文第九章信息披露及附件22商业银行信息披露内容和要求编制，而非财务会计准则。</w:t>
      </w:r>
    </w:p>
    <w:p w:rsidR="001F367C" w:rsidRDefault="00A44058">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br w:type="page"/>
      </w:r>
    </w:p>
    <w:bookmarkStart w:id="3" w:name="_Toc173232668" w:displacedByCustomXml="next"/>
    <w:sdt>
      <w:sdtPr>
        <w:rPr>
          <w:rFonts w:ascii="黑体" w:eastAsia="黑体" w:hAnsi="黑体" w:cs="黑体"/>
          <w:sz w:val="36"/>
          <w:szCs w:val="36"/>
        </w:rPr>
        <w:id w:val="-760911480"/>
        <w:placeholder>
          <w:docPart w:val="{784ec47e-fc7a-4d75-91aa-84ae90c91146}"/>
        </w:placeholder>
        <w15:color w:val="509DF3"/>
      </w:sdtPr>
      <w:sdtEndPr/>
      <w:sdtContent>
        <w:p w:rsidR="001F367C" w:rsidRPr="00723CF9" w:rsidRDefault="00A44058">
          <w:pPr>
            <w:widowControl/>
            <w:spacing w:line="360" w:lineRule="auto"/>
            <w:jc w:val="left"/>
            <w:outlineLvl w:val="0"/>
            <w:rPr>
              <w:rFonts w:ascii="黑体" w:eastAsia="黑体" w:hAnsi="黑体" w:cs="黑体"/>
              <w:sz w:val="36"/>
              <w:szCs w:val="36"/>
            </w:rPr>
          </w:pPr>
          <w:r w:rsidRPr="00723CF9">
            <w:rPr>
              <w:rFonts w:ascii="黑体" w:eastAsia="黑体" w:hAnsi="黑体" w:cs="黑体" w:hint="eastAsia"/>
              <w:sz w:val="36"/>
              <w:szCs w:val="36"/>
            </w:rPr>
            <w:t>2</w:t>
          </w:r>
          <w:r w:rsidRPr="00723CF9">
            <w:rPr>
              <w:rFonts w:ascii="黑体" w:eastAsia="黑体" w:hAnsi="黑体" w:cs="黑体" w:hint="eastAsia"/>
              <w:bCs/>
              <w:color w:val="000000"/>
              <w:kern w:val="0"/>
              <w:sz w:val="36"/>
              <w:szCs w:val="36"/>
              <w:lang w:bidi="ar"/>
            </w:rPr>
            <w:t>关键审慎监管指标概览</w:t>
          </w:r>
        </w:p>
      </w:sdtContent>
    </w:sdt>
    <w:bookmarkEnd w:id="3" w:displacedByCustomXml="prev"/>
    <w:p w:rsidR="001F367C" w:rsidRDefault="00A44058" w:rsidP="005D0436">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关键审慎监管指标包括资本充足率、杠杆率以及流动性风险相关的指标。本公司关键审慎监管指标概览如下。</w:t>
      </w:r>
    </w:p>
    <w:p w:rsidR="005D0436" w:rsidRPr="00C316F4" w:rsidRDefault="005D0436" w:rsidP="00C316F4">
      <w:pPr>
        <w:widowControl/>
        <w:spacing w:line="360" w:lineRule="auto"/>
        <w:ind w:firstLineChars="200" w:firstLine="482"/>
        <w:jc w:val="left"/>
        <w:rPr>
          <w:rFonts w:eastAsia="宋体"/>
          <w:b/>
          <w:sz w:val="24"/>
        </w:rPr>
      </w:pPr>
      <w:r w:rsidRPr="005D0436">
        <w:rPr>
          <w:rFonts w:ascii="宋体" w:eastAsia="宋体" w:hAnsi="宋体" w:cs="宋体" w:hint="eastAsia"/>
          <w:b/>
          <w:color w:val="000000"/>
          <w:kern w:val="0"/>
          <w:sz w:val="24"/>
          <w:lang w:bidi="ar"/>
        </w:rPr>
        <w:t>表格KM1：监管并</w:t>
      </w:r>
      <w:proofErr w:type="gramStart"/>
      <w:r w:rsidRPr="005D0436">
        <w:rPr>
          <w:rFonts w:ascii="宋体" w:eastAsia="宋体" w:hAnsi="宋体" w:cs="宋体" w:hint="eastAsia"/>
          <w:b/>
          <w:color w:val="000000"/>
          <w:kern w:val="0"/>
          <w:sz w:val="24"/>
          <w:lang w:bidi="ar"/>
        </w:rPr>
        <w:t>表关键</w:t>
      </w:r>
      <w:proofErr w:type="gramEnd"/>
      <w:r w:rsidRPr="005D0436">
        <w:rPr>
          <w:rFonts w:ascii="宋体" w:eastAsia="宋体" w:hAnsi="宋体" w:cs="宋体" w:hint="eastAsia"/>
          <w:b/>
          <w:color w:val="000000"/>
          <w:kern w:val="0"/>
          <w:sz w:val="24"/>
          <w:lang w:bidi="ar"/>
        </w:rPr>
        <w:t>审慎监管指标</w:t>
      </w:r>
    </w:p>
    <w:p w:rsidR="001F367C" w:rsidRDefault="000663FA">
      <w:pPr>
        <w:widowControl/>
        <w:spacing w:line="360" w:lineRule="auto"/>
        <w:jc w:val="left"/>
      </w:pPr>
      <w:r>
        <w:rPr>
          <w:rFonts w:ascii="黑体" w:eastAsia="黑体" w:hAnsi="黑体" w:cs="黑体" w:hint="eastAsia"/>
          <w:sz w:val="36"/>
          <w:szCs w:val="36"/>
        </w:rPr>
        <w:t xml:space="preserve">                             </w:t>
      </w:r>
      <w:r w:rsidR="00A44058">
        <w:rPr>
          <w:rFonts w:ascii="宋体" w:eastAsia="宋体" w:hAnsi="宋体" w:cs="宋体" w:hint="eastAsia"/>
          <w:color w:val="000000"/>
          <w:kern w:val="0"/>
          <w:sz w:val="20"/>
          <w:szCs w:val="20"/>
          <w:lang w:bidi="ar"/>
        </w:rPr>
        <w:t>单位：人民币亿元，百分比除外</w:t>
      </w:r>
    </w:p>
    <w:tbl>
      <w:tblPr>
        <w:tblW w:w="8424" w:type="dxa"/>
        <w:jc w:val="center"/>
        <w:tblLook w:val="04A0" w:firstRow="1" w:lastRow="0" w:firstColumn="1" w:lastColumn="0" w:noHBand="0" w:noVBand="1"/>
      </w:tblPr>
      <w:tblGrid>
        <w:gridCol w:w="643"/>
        <w:gridCol w:w="1684"/>
        <w:gridCol w:w="1753"/>
        <w:gridCol w:w="1614"/>
        <w:gridCol w:w="1365"/>
        <w:gridCol w:w="1365"/>
      </w:tblGrid>
      <w:tr w:rsidR="007E44F7" w:rsidTr="0026415B">
        <w:trPr>
          <w:trHeight w:val="280"/>
          <w:jc w:val="center"/>
        </w:trPr>
        <w:tc>
          <w:tcPr>
            <w:tcW w:w="23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E44F7" w:rsidRDefault="007E44F7" w:rsidP="007E44F7">
            <w:pPr>
              <w:jc w:val="center"/>
              <w:rPr>
                <w:rFonts w:ascii="微软雅黑" w:eastAsia="微软雅黑" w:hAnsi="微软雅黑" w:cs="微软雅黑"/>
                <w:color w:val="000000"/>
                <w:sz w:val="18"/>
                <w:szCs w:val="18"/>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a</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b</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9D7B92"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c</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9D7B92"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d</w:t>
            </w:r>
          </w:p>
        </w:tc>
      </w:tr>
      <w:tr w:rsidR="007E44F7" w:rsidTr="0026415B">
        <w:trPr>
          <w:trHeight w:val="280"/>
          <w:jc w:val="center"/>
        </w:trPr>
        <w:tc>
          <w:tcPr>
            <w:tcW w:w="232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E44F7" w:rsidRDefault="007E44F7" w:rsidP="007E44F7">
            <w:pPr>
              <w:jc w:val="center"/>
              <w:rPr>
                <w:rFonts w:ascii="微软雅黑" w:eastAsia="微软雅黑" w:hAnsi="微软雅黑" w:cs="微软雅黑"/>
                <w:color w:val="000000"/>
                <w:sz w:val="18"/>
                <w:szCs w:val="18"/>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9D7B92">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sidR="009D7B92">
              <w:rPr>
                <w:rFonts w:ascii="微软雅黑" w:eastAsia="微软雅黑" w:hAnsi="微软雅黑" w:cs="微软雅黑"/>
                <w:b/>
                <w:bCs/>
                <w:color w:val="000000"/>
                <w:kern w:val="0"/>
                <w:sz w:val="18"/>
                <w:szCs w:val="18"/>
                <w:lang w:bidi="ar"/>
              </w:rPr>
              <w:t>12</w:t>
            </w:r>
            <w:r>
              <w:rPr>
                <w:rFonts w:ascii="微软雅黑" w:eastAsia="微软雅黑" w:hAnsi="微软雅黑" w:cs="微软雅黑" w:hint="eastAsia"/>
                <w:b/>
                <w:bCs/>
                <w:color w:val="000000"/>
                <w:kern w:val="0"/>
                <w:sz w:val="18"/>
                <w:szCs w:val="18"/>
                <w:lang w:bidi="ar"/>
              </w:rPr>
              <w:t>月3</w:t>
            </w:r>
            <w:r w:rsidR="009D7B92">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9D7B92">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sidR="009D7B92">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sidR="009D7B92">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2024年3月31日</w:t>
            </w:r>
          </w:p>
        </w:tc>
      </w:tr>
      <w:tr w:rsidR="007E44F7" w:rsidTr="00FE22E0">
        <w:trPr>
          <w:trHeight w:val="280"/>
          <w:jc w:val="center"/>
        </w:trPr>
        <w:tc>
          <w:tcPr>
            <w:tcW w:w="4080" w:type="dxa"/>
            <w:gridSpan w:val="3"/>
            <w:tcBorders>
              <w:top w:val="nil"/>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可用资本（数额）</w:t>
            </w:r>
          </w:p>
        </w:tc>
        <w:tc>
          <w:tcPr>
            <w:tcW w:w="1614" w:type="dxa"/>
            <w:tcBorders>
              <w:top w:val="nil"/>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nil"/>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nil"/>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E40B27" w:rsidTr="00E40B27">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核心一级资本净额</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Pr="000F42BF" w:rsidRDefault="00E40B27" w:rsidP="00E40B27">
            <w:pPr>
              <w:jc w:val="right"/>
            </w:pPr>
            <w:r w:rsidRPr="000F42BF">
              <w:t xml:space="preserve">59.12 </w:t>
            </w:r>
          </w:p>
        </w:tc>
        <w:tc>
          <w:tcPr>
            <w:tcW w:w="1614" w:type="dxa"/>
            <w:tcBorders>
              <w:top w:val="single" w:sz="4" w:space="0" w:color="000000"/>
              <w:left w:val="single" w:sz="4" w:space="0" w:color="000000"/>
              <w:bottom w:val="single" w:sz="4" w:space="0" w:color="000000"/>
              <w:right w:val="single" w:sz="4" w:space="0" w:color="000000"/>
            </w:tcBorders>
            <w:vAlign w:val="center"/>
          </w:tcPr>
          <w:p w:rsidR="00E40B27" w:rsidRPr="00117DAA" w:rsidRDefault="00E40B27" w:rsidP="00E40B27">
            <w:pPr>
              <w:ind w:firstLineChars="50" w:firstLine="105"/>
              <w:jc w:val="right"/>
            </w:pPr>
            <w:r w:rsidRPr="00117DAA">
              <w:t xml:space="preserve">59.26 </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Pr="00D02874" w:rsidRDefault="00E40B27" w:rsidP="00E40B27">
            <w:pPr>
              <w:ind w:firstLineChars="50" w:firstLine="105"/>
              <w:jc w:val="right"/>
            </w:pPr>
            <w:r w:rsidRPr="00D02874">
              <w:t>58.63</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Default="00E40B27" w:rsidP="00E40B2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57.97</w:t>
            </w:r>
          </w:p>
        </w:tc>
      </w:tr>
      <w:tr w:rsidR="00E40B27" w:rsidTr="00E40B27">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一级资本净额</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Pr="000F42BF" w:rsidRDefault="00E40B27" w:rsidP="00E40B27">
            <w:pPr>
              <w:jc w:val="right"/>
            </w:pPr>
            <w:r w:rsidRPr="000F42BF">
              <w:t xml:space="preserve">59.12 </w:t>
            </w:r>
          </w:p>
        </w:tc>
        <w:tc>
          <w:tcPr>
            <w:tcW w:w="1614" w:type="dxa"/>
            <w:tcBorders>
              <w:top w:val="single" w:sz="4" w:space="0" w:color="000000"/>
              <w:left w:val="single" w:sz="4" w:space="0" w:color="000000"/>
              <w:bottom w:val="single" w:sz="4" w:space="0" w:color="000000"/>
              <w:right w:val="single" w:sz="4" w:space="0" w:color="000000"/>
            </w:tcBorders>
            <w:vAlign w:val="center"/>
          </w:tcPr>
          <w:p w:rsidR="00E40B27" w:rsidRPr="00117DAA" w:rsidRDefault="00E40B27" w:rsidP="00E40B27">
            <w:pPr>
              <w:ind w:firstLineChars="50" w:firstLine="105"/>
              <w:jc w:val="right"/>
            </w:pPr>
            <w:r w:rsidRPr="00117DAA">
              <w:t xml:space="preserve">59.26 </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Pr="00D02874" w:rsidRDefault="00E40B27" w:rsidP="00E40B27">
            <w:pPr>
              <w:jc w:val="right"/>
            </w:pPr>
            <w:r w:rsidRPr="00D02874">
              <w:t>58.63</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Default="00E40B27" w:rsidP="00E40B2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57.97</w:t>
            </w:r>
          </w:p>
        </w:tc>
      </w:tr>
      <w:tr w:rsidR="00E40B27" w:rsidTr="00E40B27">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资本净额</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27" w:rsidRDefault="00E40B27" w:rsidP="00E40B27">
            <w:pPr>
              <w:jc w:val="right"/>
            </w:pPr>
            <w:r w:rsidRPr="000F42BF">
              <w:t xml:space="preserve">64.32 </w:t>
            </w:r>
          </w:p>
        </w:tc>
        <w:tc>
          <w:tcPr>
            <w:tcW w:w="1614" w:type="dxa"/>
            <w:tcBorders>
              <w:top w:val="single" w:sz="4" w:space="0" w:color="000000"/>
              <w:left w:val="single" w:sz="4" w:space="0" w:color="000000"/>
              <w:bottom w:val="single" w:sz="4" w:space="0" w:color="000000"/>
              <w:right w:val="single" w:sz="4" w:space="0" w:color="000000"/>
            </w:tcBorders>
            <w:vAlign w:val="center"/>
          </w:tcPr>
          <w:p w:rsidR="00E40B27" w:rsidRDefault="00E40B27" w:rsidP="00E40B27">
            <w:pPr>
              <w:ind w:firstLineChars="50" w:firstLine="105"/>
              <w:jc w:val="right"/>
            </w:pPr>
            <w:r w:rsidRPr="00117DAA">
              <w:t xml:space="preserve">64.05 </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Default="00E40B27" w:rsidP="00E40B27">
            <w:pPr>
              <w:jc w:val="right"/>
            </w:pPr>
            <w:r w:rsidRPr="00D02874">
              <w:t>63.73</w:t>
            </w:r>
          </w:p>
        </w:tc>
        <w:tc>
          <w:tcPr>
            <w:tcW w:w="1365" w:type="dxa"/>
            <w:tcBorders>
              <w:top w:val="single" w:sz="4" w:space="0" w:color="000000"/>
              <w:left w:val="single" w:sz="4" w:space="0" w:color="000000"/>
              <w:bottom w:val="single" w:sz="4" w:space="0" w:color="000000"/>
              <w:right w:val="single" w:sz="4" w:space="0" w:color="000000"/>
            </w:tcBorders>
            <w:vAlign w:val="center"/>
          </w:tcPr>
          <w:p w:rsidR="00E40B27" w:rsidRDefault="00E40B27" w:rsidP="00E40B2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63.64</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风险加权资产（数额）</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风险加权资产</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641123">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r w:rsidR="00641123">
              <w:rPr>
                <w:rFonts w:ascii="微软雅黑" w:eastAsia="微软雅黑" w:hAnsi="微软雅黑" w:cs="微软雅黑"/>
                <w:color w:val="000000"/>
                <w:kern w:val="0"/>
                <w:sz w:val="18"/>
                <w:szCs w:val="18"/>
                <w:lang w:bidi="ar"/>
              </w:rPr>
              <w:t>26.90</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DE00BC"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392.90</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418.42</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464.98</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资本充足率</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1A7AC2" w:rsidTr="001A7AC2">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核心一级资本充足率（%）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Pr="00E55FFB" w:rsidRDefault="001A7AC2" w:rsidP="001A7AC2">
            <w:pPr>
              <w:jc w:val="right"/>
            </w:pPr>
            <w:r w:rsidRPr="00E55FFB">
              <w:t xml:space="preserve">13.85 </w:t>
            </w:r>
          </w:p>
        </w:tc>
        <w:tc>
          <w:tcPr>
            <w:tcW w:w="1614"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Pr="007B2B38" w:rsidRDefault="001A7AC2" w:rsidP="001A7AC2">
            <w:pPr>
              <w:jc w:val="right"/>
            </w:pPr>
            <w:r w:rsidRPr="007B2B38">
              <w:t xml:space="preserve">14.01 </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12.47</w:t>
            </w:r>
          </w:p>
        </w:tc>
      </w:tr>
      <w:tr w:rsidR="001A7AC2" w:rsidTr="001A7AC2">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一级资本充足率（%）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Pr="00E55FFB" w:rsidRDefault="001A7AC2" w:rsidP="001A7AC2">
            <w:pPr>
              <w:jc w:val="right"/>
            </w:pPr>
            <w:r w:rsidRPr="00E55FFB">
              <w:t xml:space="preserve">13.85 </w:t>
            </w:r>
          </w:p>
        </w:tc>
        <w:tc>
          <w:tcPr>
            <w:tcW w:w="1614"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Pr="007B2B38" w:rsidRDefault="001A7AC2" w:rsidP="001A7AC2">
            <w:pPr>
              <w:jc w:val="right"/>
            </w:pPr>
            <w:r w:rsidRPr="007B2B38">
              <w:t xml:space="preserve">14.01 </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12.47</w:t>
            </w:r>
          </w:p>
        </w:tc>
      </w:tr>
      <w:tr w:rsidR="001A7AC2" w:rsidTr="001A7AC2">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资本充足率（%）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AC2" w:rsidRDefault="001A7AC2" w:rsidP="001A7AC2">
            <w:pPr>
              <w:jc w:val="right"/>
            </w:pPr>
            <w:r w:rsidRPr="00E55FFB">
              <w:t xml:space="preserve">15.07 </w:t>
            </w:r>
          </w:p>
        </w:tc>
        <w:tc>
          <w:tcPr>
            <w:tcW w:w="1614"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16.30</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jc w:val="right"/>
            </w:pPr>
            <w:r w:rsidRPr="007B2B38">
              <w:t xml:space="preserve">15.23 </w:t>
            </w:r>
          </w:p>
        </w:tc>
        <w:tc>
          <w:tcPr>
            <w:tcW w:w="1365" w:type="dxa"/>
            <w:tcBorders>
              <w:top w:val="single" w:sz="4" w:space="0" w:color="000000"/>
              <w:left w:val="single" w:sz="4" w:space="0" w:color="000000"/>
              <w:bottom w:val="single" w:sz="4" w:space="0" w:color="000000"/>
              <w:right w:val="single" w:sz="4" w:space="0" w:color="000000"/>
            </w:tcBorders>
            <w:vAlign w:val="center"/>
          </w:tcPr>
          <w:p w:rsidR="001A7AC2" w:rsidRDefault="001A7AC2" w:rsidP="001A7AC2">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13.69</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其他各级资本要求</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储备资本要求（%）</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逆周期资本要求（%）</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全球系统重要性银行或国内系统重要性银行附加资本要求（%）</w:t>
            </w:r>
          </w:p>
        </w:tc>
        <w:tc>
          <w:tcPr>
            <w:tcW w:w="1753"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7E44F7" w:rsidRDefault="007E44F7" w:rsidP="007E44F7">
            <w:pPr>
              <w:rPr>
                <w:rFonts w:ascii="微软雅黑" w:eastAsia="微软雅黑" w:hAnsi="微软雅黑" w:cs="微软雅黑"/>
                <w:color w:val="000000"/>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BEBEBE"/>
          </w:tcPr>
          <w:p w:rsidR="007E44F7" w:rsidRDefault="007E44F7" w:rsidP="007E44F7">
            <w:pPr>
              <w:rPr>
                <w:rFonts w:ascii="微软雅黑" w:eastAsia="微软雅黑" w:hAnsi="微软雅黑" w:cs="微软雅黑"/>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BEBEBE"/>
          </w:tcPr>
          <w:p w:rsidR="007E44F7" w:rsidRDefault="007E44F7" w:rsidP="007E44F7">
            <w:pPr>
              <w:rPr>
                <w:rFonts w:ascii="微软雅黑" w:eastAsia="微软雅黑" w:hAnsi="微软雅黑" w:cs="微软雅黑"/>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BEBEBE"/>
          </w:tcPr>
          <w:p w:rsidR="007E44F7" w:rsidRDefault="007E44F7" w:rsidP="007E44F7">
            <w:pPr>
              <w:rPr>
                <w:rFonts w:ascii="微软雅黑" w:eastAsia="微软雅黑" w:hAnsi="微软雅黑" w:cs="微软雅黑"/>
                <w:color w:val="000000"/>
                <w:sz w:val="18"/>
                <w:szCs w:val="18"/>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其他各级资本要求（%）（8+9+10）</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7E44F7" w:rsidTr="0026415B">
        <w:trPr>
          <w:trHeight w:val="60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满足最低资本要求后的可用核心一级资本净额占风险加权资产的比例（%）</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C663F0">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7.</w:t>
            </w:r>
            <w:r w:rsidR="00C663F0">
              <w:rPr>
                <w:rFonts w:ascii="微软雅黑" w:eastAsia="微软雅黑" w:hAnsi="微软雅黑" w:cs="微软雅黑"/>
                <w:color w:val="000000"/>
                <w:kern w:val="0"/>
                <w:sz w:val="18"/>
                <w:szCs w:val="18"/>
                <w:lang w:bidi="ar"/>
              </w:rPr>
              <w:t>07</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881504"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8.30</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7.23</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5.69</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杠杆率</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调整后表内外资产余额</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Pr="00D31CC2" w:rsidRDefault="007E44F7" w:rsidP="00C663F0">
            <w:pPr>
              <w:jc w:val="right"/>
            </w:pPr>
            <w:r w:rsidRPr="00D31CC2">
              <w:t>5</w:t>
            </w:r>
            <w:r w:rsidR="00C663F0">
              <w:t>35.83</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881504"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483.64</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Pr="00D31CC2" w:rsidRDefault="007E44F7" w:rsidP="007E44F7">
            <w:pPr>
              <w:jc w:val="right"/>
            </w:pPr>
            <w:r w:rsidRPr="00D31CC2">
              <w:t>551.89</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530.31</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14</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Pr="00D31CC2" w:rsidRDefault="00C663F0" w:rsidP="007E44F7">
            <w:pPr>
              <w:jc w:val="right"/>
            </w:pPr>
            <w:r>
              <w:t>11.03</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881504"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Pr="00D31CC2" w:rsidRDefault="007E44F7" w:rsidP="007E44F7">
            <w:pPr>
              <w:jc w:val="right"/>
            </w:pPr>
            <w:r w:rsidRPr="00D31CC2">
              <w:t>10.62</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10.93</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14a</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杠杆率a（%）</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C663F0" w:rsidP="007E44F7">
            <w:pPr>
              <w:jc w:val="right"/>
            </w:pPr>
            <w:r>
              <w:t>11.03</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881504"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jc w:val="right"/>
            </w:pPr>
            <w:r w:rsidRPr="00D31CC2">
              <w:t>10.62</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10.93</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流动性覆盖率</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合格优质流动性资产</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现金净流出量</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流动性覆盖率（%）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净稳定资金比例</w:t>
            </w:r>
          </w:p>
        </w:tc>
        <w:tc>
          <w:tcPr>
            <w:tcW w:w="1614"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可用稳定资金合计</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所需稳定资金合计</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净稳定资金比例（%）</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614"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65" w:type="dxa"/>
            <w:tcBorders>
              <w:top w:val="single" w:sz="4" w:space="0" w:color="000000"/>
              <w:left w:val="single" w:sz="4" w:space="0" w:color="000000"/>
              <w:bottom w:val="single" w:sz="4" w:space="0" w:color="000000"/>
              <w:right w:val="single" w:sz="4" w:space="0" w:color="000000"/>
            </w:tcBorders>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7E44F7" w:rsidTr="00FE22E0">
        <w:trPr>
          <w:trHeight w:val="420"/>
          <w:jc w:val="center"/>
        </w:trPr>
        <w:tc>
          <w:tcPr>
            <w:tcW w:w="4080" w:type="dxa"/>
            <w:gridSpan w:val="3"/>
            <w:tcBorders>
              <w:top w:val="single" w:sz="4" w:space="0" w:color="000000"/>
              <w:left w:val="single" w:sz="4" w:space="0" w:color="000000"/>
              <w:bottom w:val="single" w:sz="4" w:space="0" w:color="000000"/>
              <w:right w:val="single" w:sz="4" w:space="0" w:color="000000"/>
            </w:tcBorders>
            <w:shd w:val="clear" w:color="auto" w:fill="D8D8D8"/>
          </w:tcPr>
          <w:p w:rsidR="007E44F7" w:rsidRDefault="007E44F7" w:rsidP="007E44F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流动性比例</w:t>
            </w:r>
          </w:p>
        </w:tc>
        <w:tc>
          <w:tcPr>
            <w:tcW w:w="1614" w:type="dxa"/>
            <w:tcBorders>
              <w:top w:val="single" w:sz="4" w:space="0" w:color="000000"/>
              <w:left w:val="single" w:sz="4" w:space="0" w:color="000000"/>
              <w:bottom w:val="single" w:sz="4" w:space="0" w:color="000000"/>
              <w:right w:val="single" w:sz="4" w:space="0" w:color="000000"/>
            </w:tcBorders>
            <w:shd w:val="clear" w:color="auto" w:fill="D8D8D8"/>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8D8D8"/>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c>
          <w:tcPr>
            <w:tcW w:w="1365" w:type="dxa"/>
            <w:tcBorders>
              <w:top w:val="single" w:sz="4" w:space="0" w:color="000000"/>
              <w:left w:val="single" w:sz="4" w:space="0" w:color="000000"/>
              <w:bottom w:val="single" w:sz="4" w:space="0" w:color="000000"/>
              <w:right w:val="single" w:sz="4" w:space="0" w:color="000000"/>
            </w:tcBorders>
            <w:shd w:val="clear" w:color="auto" w:fill="D8D8D8"/>
          </w:tcPr>
          <w:p w:rsidR="007E44F7" w:rsidRDefault="007E44F7" w:rsidP="007E44F7">
            <w:pPr>
              <w:widowControl/>
              <w:jc w:val="left"/>
              <w:textAlignment w:val="top"/>
              <w:rPr>
                <w:rFonts w:ascii="微软雅黑" w:eastAsia="微软雅黑" w:hAnsi="微软雅黑" w:cs="微软雅黑"/>
                <w:b/>
                <w:bCs/>
                <w:color w:val="000000"/>
                <w:kern w:val="0"/>
                <w:sz w:val="18"/>
                <w:szCs w:val="18"/>
                <w:lang w:bidi="ar"/>
              </w:rPr>
            </w:pPr>
          </w:p>
        </w:tc>
      </w:tr>
      <w:tr w:rsidR="007E44F7" w:rsidTr="0026415B">
        <w:trPr>
          <w:trHeight w:val="420"/>
          <w:jc w:val="center"/>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7E44F7" w:rsidP="007E44F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流动性比例（%）</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BF4771" w:rsidP="007E44F7">
            <w:pPr>
              <w:widowControl/>
              <w:jc w:val="right"/>
              <w:textAlignment w:val="center"/>
              <w:rPr>
                <w:rFonts w:ascii="微软雅黑" w:eastAsia="微软雅黑" w:hAnsi="微软雅黑" w:cs="微软雅黑"/>
                <w:color w:val="000000"/>
                <w:sz w:val="18"/>
                <w:szCs w:val="18"/>
              </w:rPr>
            </w:pPr>
            <w:r w:rsidRPr="00BF4771">
              <w:rPr>
                <w:rFonts w:ascii="微软雅黑" w:eastAsia="微软雅黑" w:hAnsi="微软雅黑" w:cs="微软雅黑"/>
                <w:color w:val="000000"/>
                <w:kern w:val="0"/>
                <w:sz w:val="18"/>
                <w:szCs w:val="18"/>
                <w:lang w:bidi="ar"/>
              </w:rPr>
              <w:t>50.63</w:t>
            </w: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881504"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66.37</w:t>
            </w:r>
          </w:p>
        </w:tc>
        <w:tc>
          <w:tcPr>
            <w:tcW w:w="13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7E44F7" w:rsidP="007E44F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74.51</w:t>
            </w:r>
          </w:p>
        </w:tc>
        <w:tc>
          <w:tcPr>
            <w:tcW w:w="13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44F7" w:rsidRDefault="007E44F7" w:rsidP="007E44F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56.30</w:t>
            </w:r>
          </w:p>
        </w:tc>
      </w:tr>
    </w:tbl>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bookmarkStart w:id="4" w:name="_Toc173232669"/>
    <w:p w:rsidR="00C316F4" w:rsidRPr="00FB2FF1" w:rsidRDefault="00AC0237" w:rsidP="00C316F4">
      <w:pPr>
        <w:widowControl/>
        <w:spacing w:line="360" w:lineRule="auto"/>
        <w:jc w:val="left"/>
        <w:outlineLvl w:val="0"/>
        <w:rPr>
          <w:rFonts w:ascii="黑体" w:eastAsia="黑体" w:hAnsi="黑体" w:cs="黑体"/>
          <w:sz w:val="36"/>
          <w:szCs w:val="36"/>
        </w:rPr>
      </w:pPr>
      <w:sdt>
        <w:sdtPr>
          <w:rPr>
            <w:rFonts w:ascii="黑体" w:eastAsia="黑体" w:hAnsi="黑体" w:cs="黑体"/>
            <w:sz w:val="36"/>
            <w:szCs w:val="36"/>
          </w:rPr>
          <w:id w:val="-1645117625"/>
          <w:placeholder>
            <w:docPart w:val="91D61BFFCCDD44A7AD13BAE3915DB52D"/>
          </w:placeholder>
          <w15:color w:val="509DF3"/>
        </w:sdtPr>
        <w:sdtEndPr/>
        <w:sdtContent>
          <w:r w:rsidR="005D0436" w:rsidRPr="00FB2FF1">
            <w:rPr>
              <w:rFonts w:ascii="黑体" w:eastAsia="黑体" w:hAnsi="黑体" w:cs="黑体"/>
              <w:sz w:val="36"/>
              <w:szCs w:val="36"/>
            </w:rPr>
            <w:t>3</w:t>
          </w:r>
          <w:r w:rsidR="005D0436" w:rsidRPr="00FB2FF1">
            <w:rPr>
              <w:rFonts w:ascii="黑体" w:eastAsia="黑体" w:hAnsi="黑体" w:cs="黑体" w:hint="eastAsia"/>
              <w:bCs/>
              <w:color w:val="000000"/>
              <w:kern w:val="0"/>
              <w:sz w:val="36"/>
              <w:szCs w:val="36"/>
              <w:lang w:bidi="ar"/>
            </w:rPr>
            <w:t>资本构成</w:t>
          </w:r>
        </w:sdtContent>
      </w:sdt>
      <w:bookmarkEnd w:id="4"/>
    </w:p>
    <w:p w:rsidR="0073272B" w:rsidRDefault="00C316F4" w:rsidP="000D1726">
      <w:pPr>
        <w:widowControl/>
        <w:spacing w:line="360" w:lineRule="auto"/>
        <w:ind w:firstLineChars="200" w:firstLine="482"/>
        <w:jc w:val="left"/>
        <w:rPr>
          <w:rFonts w:ascii="宋体" w:eastAsia="宋体" w:hAnsi="宋体" w:cs="宋体"/>
          <w:b/>
          <w:color w:val="000000"/>
          <w:kern w:val="0"/>
          <w:sz w:val="24"/>
          <w:lang w:bidi="ar"/>
        </w:rPr>
      </w:pPr>
      <w:r w:rsidRPr="000D1726">
        <w:rPr>
          <w:rFonts w:ascii="宋体" w:eastAsia="宋体" w:hAnsi="宋体" w:cs="宋体" w:hint="eastAsia"/>
          <w:b/>
          <w:color w:val="000000"/>
          <w:kern w:val="0"/>
          <w:sz w:val="24"/>
          <w:lang w:bidi="ar"/>
        </w:rPr>
        <w:t>表格CC1：资本</w:t>
      </w:r>
      <w:r w:rsidRPr="000D1726">
        <w:rPr>
          <w:rFonts w:ascii="宋体" w:eastAsia="宋体" w:hAnsi="宋体" w:cs="宋体"/>
          <w:b/>
          <w:color w:val="000000"/>
          <w:kern w:val="0"/>
          <w:sz w:val="24"/>
          <w:lang w:bidi="ar"/>
        </w:rPr>
        <w:t>构成</w:t>
      </w:r>
    </w:p>
    <w:p w:rsidR="00B42DB2" w:rsidRPr="00B42DB2" w:rsidRDefault="00B42DB2" w:rsidP="000D1726">
      <w:pPr>
        <w:widowControl/>
        <w:spacing w:line="360" w:lineRule="auto"/>
        <w:ind w:firstLineChars="200" w:firstLine="482"/>
        <w:jc w:val="left"/>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 xml:space="preserve">                                     </w:t>
      </w:r>
      <w:r w:rsidRPr="00B42DB2">
        <w:rPr>
          <w:rFonts w:ascii="宋体" w:eastAsia="宋体" w:hAnsi="宋体" w:cs="宋体" w:hint="eastAsia"/>
          <w:color w:val="000000"/>
          <w:kern w:val="0"/>
          <w:sz w:val="20"/>
          <w:szCs w:val="20"/>
          <w:lang w:bidi="ar"/>
        </w:rPr>
        <w:t>单位：人民币亿元，百分比除外</w:t>
      </w:r>
    </w:p>
    <w:tbl>
      <w:tblPr>
        <w:tblW w:w="7590" w:type="dxa"/>
        <w:tblInd w:w="108" w:type="dxa"/>
        <w:tblLook w:val="04A0" w:firstRow="1" w:lastRow="0" w:firstColumn="1" w:lastColumn="0" w:noHBand="0" w:noVBand="1"/>
      </w:tblPr>
      <w:tblGrid>
        <w:gridCol w:w="600"/>
        <w:gridCol w:w="3130"/>
        <w:gridCol w:w="2310"/>
        <w:gridCol w:w="1550"/>
      </w:tblGrid>
      <w:tr w:rsidR="00B837DE" w:rsidRPr="00B837DE" w:rsidTr="00007135">
        <w:trPr>
          <w:trHeight w:val="270"/>
        </w:trPr>
        <w:tc>
          <w:tcPr>
            <w:tcW w:w="60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313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nil"/>
              <w:left w:val="nil"/>
              <w:bottom w:val="single" w:sz="4" w:space="0" w:color="auto"/>
              <w:right w:val="nil"/>
            </w:tcBorders>
            <w:shd w:val="clear" w:color="auto" w:fill="auto"/>
            <w:noWrap/>
            <w:vAlign w:val="center"/>
            <w:hideMark/>
          </w:tcPr>
          <w:p w:rsidR="00B837DE" w:rsidRPr="00B837DE" w:rsidRDefault="00B837DE" w:rsidP="000A0B51">
            <w:pPr>
              <w:widowControl/>
              <w:ind w:right="270"/>
              <w:jc w:val="righ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2024-</w:t>
            </w:r>
            <w:r w:rsidR="000A0B51">
              <w:rPr>
                <w:rFonts w:ascii="微软雅黑" w:eastAsia="微软雅黑" w:hAnsi="微软雅黑" w:cs="Arial"/>
                <w:b/>
                <w:bCs/>
                <w:color w:val="000000"/>
                <w:kern w:val="0"/>
                <w:sz w:val="18"/>
                <w:szCs w:val="18"/>
              </w:rPr>
              <w:t>12</w:t>
            </w:r>
            <w:r w:rsidRPr="00B837DE">
              <w:rPr>
                <w:rFonts w:ascii="微软雅黑" w:eastAsia="微软雅黑" w:hAnsi="微软雅黑" w:cs="Arial" w:hint="eastAsia"/>
                <w:b/>
                <w:bCs/>
                <w:color w:val="000000"/>
                <w:kern w:val="0"/>
                <w:sz w:val="18"/>
                <w:szCs w:val="18"/>
              </w:rPr>
              <w:t>-3</w:t>
            </w:r>
            <w:r w:rsidR="000A0B51">
              <w:rPr>
                <w:rFonts w:ascii="微软雅黑" w:eastAsia="微软雅黑" w:hAnsi="微软雅黑" w:cs="Arial"/>
                <w:b/>
                <w:bCs/>
                <w:color w:val="000000"/>
                <w:kern w:val="0"/>
                <w:sz w:val="18"/>
                <w:szCs w:val="18"/>
              </w:rPr>
              <w:t>1</w:t>
            </w:r>
          </w:p>
        </w:tc>
        <w:tc>
          <w:tcPr>
            <w:tcW w:w="155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right"/>
              <w:rPr>
                <w:rFonts w:ascii="微软雅黑" w:eastAsia="微软雅黑" w:hAnsi="微软雅黑" w:cs="Arial"/>
                <w:b/>
                <w:bCs/>
                <w:color w:val="000000"/>
                <w:kern w:val="0"/>
                <w:sz w:val="18"/>
                <w:szCs w:val="18"/>
              </w:rPr>
            </w:pPr>
          </w:p>
        </w:tc>
      </w:tr>
      <w:tr w:rsidR="00B837DE" w:rsidRPr="00B837DE" w:rsidTr="00007135">
        <w:trPr>
          <w:trHeight w:val="285"/>
        </w:trPr>
        <w:tc>
          <w:tcPr>
            <w:tcW w:w="3730" w:type="dxa"/>
            <w:gridSpan w:val="2"/>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single" w:sz="4" w:space="0" w:color="auto"/>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a</w:t>
            </w:r>
          </w:p>
        </w:tc>
        <w:tc>
          <w:tcPr>
            <w:tcW w:w="1550" w:type="dxa"/>
            <w:tcBorders>
              <w:top w:val="single" w:sz="4" w:space="0" w:color="auto"/>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b</w:t>
            </w:r>
          </w:p>
        </w:tc>
      </w:tr>
      <w:tr w:rsidR="00B837DE" w:rsidRPr="00B837DE" w:rsidTr="00007135">
        <w:trPr>
          <w:trHeight w:val="285"/>
        </w:trPr>
        <w:tc>
          <w:tcPr>
            <w:tcW w:w="3730" w:type="dxa"/>
            <w:gridSpan w:val="2"/>
            <w:vMerge/>
            <w:tcBorders>
              <w:top w:val="nil"/>
              <w:left w:val="single" w:sz="4" w:space="0" w:color="auto"/>
              <w:bottom w:val="single" w:sz="8" w:space="0" w:color="000000"/>
              <w:right w:val="single" w:sz="8" w:space="0" w:color="000000"/>
            </w:tcBorders>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数额</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代码</w:t>
            </w: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实收资本和资本公积可计入部分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53.00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e+g</w:t>
            </w:r>
            <w:proofErr w:type="spellEnd"/>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留存收益</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2a</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盈余公积</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1C3D27">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1C3D27">
              <w:rPr>
                <w:rFonts w:ascii="微软雅黑" w:eastAsia="微软雅黑" w:hAnsi="微软雅黑" w:cs="Arial"/>
                <w:color w:val="000000"/>
                <w:kern w:val="0"/>
                <w:sz w:val="18"/>
                <w:szCs w:val="18"/>
              </w:rPr>
              <w:t>63</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h</w:t>
            </w: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2b</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一般风险准备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1C3D27">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0.9</w:t>
            </w:r>
            <w:r w:rsidR="001C3D27">
              <w:rPr>
                <w:rFonts w:ascii="微软雅黑" w:eastAsia="微软雅黑" w:hAnsi="微软雅黑" w:cs="Arial"/>
                <w:color w:val="000000"/>
                <w:kern w:val="0"/>
                <w:sz w:val="18"/>
                <w:szCs w:val="18"/>
              </w:rPr>
              <w:t>9</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i</w:t>
            </w:r>
            <w:proofErr w:type="spellEnd"/>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2c</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未分配利润</w:t>
            </w:r>
          </w:p>
        </w:tc>
        <w:tc>
          <w:tcPr>
            <w:tcW w:w="2310" w:type="dxa"/>
            <w:tcBorders>
              <w:top w:val="nil"/>
              <w:left w:val="nil"/>
              <w:bottom w:val="single" w:sz="8" w:space="0" w:color="000000"/>
              <w:right w:val="nil"/>
            </w:tcBorders>
            <w:shd w:val="clear" w:color="auto" w:fill="auto"/>
            <w:vAlign w:val="center"/>
            <w:hideMark/>
          </w:tcPr>
          <w:p w:rsidR="00B837DE" w:rsidRPr="00B837DE" w:rsidRDefault="001C3D27"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4.08</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j</w:t>
            </w: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累计其他综合收益</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扣除前的核心一级资本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1C3D27">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59.</w:t>
            </w:r>
            <w:r w:rsidR="001C3D27">
              <w:rPr>
                <w:rFonts w:ascii="微软雅黑" w:eastAsia="微软雅黑" w:hAnsi="微软雅黑" w:cs="Arial"/>
                <w:color w:val="000000"/>
                <w:kern w:val="0"/>
                <w:sz w:val="18"/>
                <w:szCs w:val="18"/>
              </w:rPr>
              <w:t>70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b/>
                <w:bCs/>
                <w:color w:val="000000"/>
                <w:kern w:val="0"/>
                <w:sz w:val="18"/>
                <w:szCs w:val="18"/>
              </w:rPr>
              <w:t>核心一级资本：扣除项</w:t>
            </w:r>
            <w:r w:rsidRPr="00B837DE">
              <w:rPr>
                <w:rFonts w:ascii="微软雅黑" w:eastAsia="微软雅黑" w:hAnsi="微软雅黑" w:cs="Arial"/>
                <w:color w:val="000000"/>
                <w:kern w:val="0"/>
                <w:sz w:val="18"/>
                <w:szCs w:val="18"/>
              </w:rPr>
              <w:t xml:space="preserve">　</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审慎估值调整</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商誉（扣除递延税负债）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a-c</w:t>
            </w: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其他无形资产（土地使用权除外）（扣除递延税负债）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7573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27573E">
              <w:rPr>
                <w:rFonts w:ascii="微软雅黑" w:eastAsia="微软雅黑" w:hAnsi="微软雅黑" w:cs="Arial"/>
                <w:color w:val="000000"/>
                <w:kern w:val="0"/>
                <w:sz w:val="18"/>
                <w:szCs w:val="18"/>
              </w:rPr>
              <w:t>59</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b-d</w:t>
            </w: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依赖未来盈利的由经营亏损引起的净递延税资产</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对未按公允价值计量的项目进行套期形成的现金流储备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损失准备缺口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资产证券化销售利得</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自身信用风险变化导致其负债公允价值变化带来的未实现损益</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确定受益类的养老金资产净额（扣除递延税负债）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直接或间接持有本银行的股票</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银行间或银行与其他金融机构间通过协议相互持有的核心一级资本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对未并表金融机构小额少数资本投资中的核心一级资本中应扣除金额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对未并表金融机构大额少数资本投资中的核心一级资本中应扣除金额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19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其他依赖于银行未来盈利的净递延税资产中应扣除金额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1040"/>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对未并表金融机构大额少数资本投资中的核心一级资本和其他依赖于银行未来盈利的净递延税资产的未扣除部分超过核心一级资本15%的应扣除金额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其中：应在对金融机构大额少数资本投资中扣除的金额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80"/>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其中：应在其他依赖于银行未来盈利的净递延税资产中扣除的金额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105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其他应在核心一级资本中扣除的项目合计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应从其他一级资本和二级资本中扣除的未扣缺口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B9518E">
              <w:rPr>
                <w:rFonts w:ascii="微软雅黑" w:eastAsia="微软雅黑" w:hAnsi="微软雅黑" w:cs="Arial"/>
                <w:color w:val="000000"/>
                <w:kern w:val="0"/>
                <w:sz w:val="18"/>
                <w:szCs w:val="18"/>
              </w:rPr>
              <w:t>59</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B9518E">
              <w:rPr>
                <w:rFonts w:ascii="微软雅黑" w:eastAsia="微软雅黑" w:hAnsi="微软雅黑" w:cs="Arial"/>
                <w:color w:val="000000"/>
                <w:kern w:val="0"/>
                <w:sz w:val="18"/>
                <w:szCs w:val="18"/>
              </w:rPr>
              <w:t>9.12</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其他一级资本工具及其溢价</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其中：权益部分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其中：负债部分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对未并表金融机构小额少数资本投资中的其他一级资本中应扣除金额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对未并表金融机构大额少数资本投资中的其他一级资本中应扣除金额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其他应在其他一级资本中扣除的项目合计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应从二级资本中扣除的未扣缺口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623"/>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56"/>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377"/>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40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B9518E">
              <w:rPr>
                <w:rFonts w:ascii="微软雅黑" w:eastAsia="微软雅黑" w:hAnsi="微软雅黑" w:cs="Arial"/>
                <w:color w:val="000000"/>
                <w:kern w:val="0"/>
                <w:sz w:val="18"/>
                <w:szCs w:val="18"/>
              </w:rPr>
              <w:t>9.12</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二级资本工具及其溢价</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超额损失准备可计入部分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B9518E">
              <w:rPr>
                <w:rFonts w:ascii="微软雅黑" w:eastAsia="微软雅黑" w:hAnsi="微软雅黑" w:cs="Arial"/>
                <w:color w:val="000000"/>
                <w:kern w:val="0"/>
                <w:sz w:val="18"/>
                <w:szCs w:val="18"/>
              </w:rPr>
              <w:t>2</w:t>
            </w:r>
            <w:r w:rsidRPr="00B837DE">
              <w:rPr>
                <w:rFonts w:ascii="微软雅黑" w:eastAsia="微软雅黑" w:hAnsi="微软雅黑" w:cs="Arial" w:hint="eastAsia"/>
                <w:color w:val="000000"/>
                <w:kern w:val="0"/>
                <w:sz w:val="18"/>
                <w:szCs w:val="18"/>
              </w:rPr>
              <w:t xml:space="preserve">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B9518E">
              <w:rPr>
                <w:rFonts w:ascii="微软雅黑" w:eastAsia="微软雅黑" w:hAnsi="微软雅黑" w:cs="Arial"/>
                <w:color w:val="000000"/>
                <w:kern w:val="0"/>
                <w:sz w:val="18"/>
                <w:szCs w:val="18"/>
              </w:rPr>
              <w:t>2</w:t>
            </w:r>
            <w:r w:rsidRPr="00B837DE">
              <w:rPr>
                <w:rFonts w:ascii="微软雅黑" w:eastAsia="微软雅黑" w:hAnsi="微软雅黑" w:cs="Arial" w:hint="eastAsia"/>
                <w:color w:val="000000"/>
                <w:kern w:val="0"/>
                <w:sz w:val="18"/>
                <w:szCs w:val="18"/>
              </w:rPr>
              <w:t xml:space="preserve">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对未并表金融机构小额少数资本投资中的二级资本中应扣除金额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其他应在二级资本中扣除的项目合计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AD6A65">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AD6A65">
              <w:rPr>
                <w:rFonts w:ascii="微软雅黑" w:eastAsia="微软雅黑" w:hAnsi="微软雅黑" w:cs="Arial"/>
                <w:color w:val="000000"/>
                <w:kern w:val="0"/>
                <w:sz w:val="18"/>
                <w:szCs w:val="18"/>
              </w:rPr>
              <w:t>2</w:t>
            </w:r>
            <w:r w:rsidRPr="00B837DE">
              <w:rPr>
                <w:rFonts w:ascii="微软雅黑" w:eastAsia="微软雅黑" w:hAnsi="微软雅黑" w:cs="Arial" w:hint="eastAsia"/>
                <w:color w:val="000000"/>
                <w:kern w:val="0"/>
                <w:sz w:val="18"/>
                <w:szCs w:val="18"/>
              </w:rPr>
              <w:t xml:space="preserve">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总资本净额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AD6A65">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r w:rsidR="00AD6A65">
              <w:rPr>
                <w:rFonts w:ascii="微软雅黑" w:eastAsia="微软雅黑" w:hAnsi="微软雅黑" w:cs="Arial"/>
                <w:color w:val="000000"/>
                <w:kern w:val="0"/>
                <w:sz w:val="18"/>
                <w:szCs w:val="18"/>
              </w:rPr>
              <w:t>4.32</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风险加权资产</w:t>
            </w:r>
          </w:p>
        </w:tc>
        <w:tc>
          <w:tcPr>
            <w:tcW w:w="2310" w:type="dxa"/>
            <w:tcBorders>
              <w:top w:val="nil"/>
              <w:left w:val="nil"/>
              <w:bottom w:val="single" w:sz="8" w:space="0" w:color="000000"/>
              <w:right w:val="nil"/>
            </w:tcBorders>
            <w:shd w:val="clear" w:color="auto" w:fill="auto"/>
            <w:vAlign w:val="center"/>
            <w:hideMark/>
          </w:tcPr>
          <w:p w:rsidR="00B837DE" w:rsidRPr="00B837DE" w:rsidRDefault="00AD6A65"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color w:val="000000"/>
                <w:kern w:val="0"/>
                <w:sz w:val="18"/>
                <w:szCs w:val="18"/>
              </w:rPr>
              <w:t>426.90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资本充足率和其他各级资本要求</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2C74C8">
              <w:rPr>
                <w:rFonts w:ascii="微软雅黑" w:eastAsia="微软雅黑" w:hAnsi="微软雅黑" w:cs="Arial"/>
                <w:color w:val="000000"/>
                <w:kern w:val="0"/>
                <w:sz w:val="18"/>
                <w:szCs w:val="18"/>
              </w:rPr>
              <w:t>3.85</w:t>
            </w:r>
            <w:r w:rsidRPr="00B837DE">
              <w:rPr>
                <w:rFonts w:ascii="微软雅黑" w:eastAsia="微软雅黑" w:hAnsi="微软雅黑" w:cs="Arial" w:hint="eastAsia"/>
                <w:color w:val="000000"/>
                <w:kern w:val="0"/>
                <w:sz w:val="18"/>
                <w:szCs w:val="18"/>
              </w:rPr>
              <w:t>%</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2C74C8"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Pr>
                <w:rFonts w:ascii="微软雅黑" w:eastAsia="微软雅黑" w:hAnsi="微软雅黑" w:cs="Arial"/>
                <w:color w:val="000000"/>
                <w:kern w:val="0"/>
                <w:sz w:val="18"/>
                <w:szCs w:val="18"/>
              </w:rPr>
              <w:t>3.85</w:t>
            </w: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15.</w:t>
            </w:r>
            <w:r w:rsidR="002C74C8">
              <w:rPr>
                <w:rFonts w:ascii="微软雅黑" w:eastAsia="微软雅黑" w:hAnsi="微软雅黑" w:cs="Arial"/>
                <w:color w:val="000000"/>
                <w:kern w:val="0"/>
                <w:sz w:val="18"/>
                <w:szCs w:val="18"/>
              </w:rPr>
              <w:t>07</w:t>
            </w: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其他各级资本要求（%）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其中：储备资本要求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其中：逆周期资本要求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其中：全球系统重要性银行或国内系统重要性银行附加资本要求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满足最低资本要求后的可用核心一级资本净额占风险加权资产的比例（%）</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7.</w:t>
            </w:r>
            <w:r w:rsidR="002C74C8">
              <w:rPr>
                <w:rFonts w:ascii="微软雅黑" w:eastAsia="微软雅黑" w:hAnsi="微软雅黑" w:cs="Arial"/>
                <w:color w:val="000000"/>
                <w:kern w:val="0"/>
                <w:sz w:val="18"/>
                <w:szCs w:val="18"/>
              </w:rPr>
              <w:t>07</w:t>
            </w: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9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我国最低监管资本要求</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核心一级资本充足率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6C7091"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5.00%</w:t>
            </w:r>
          </w:p>
        </w:tc>
        <w:tc>
          <w:tcPr>
            <w:tcW w:w="1550" w:type="dxa"/>
            <w:tcBorders>
              <w:top w:val="single" w:sz="4" w:space="0" w:color="000000"/>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一级资本充足率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6.00%</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6C7091"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8</w:t>
            </w:r>
            <w:r w:rsidR="00B837DE" w:rsidRPr="00B837DE">
              <w:rPr>
                <w:rFonts w:ascii="微软雅黑" w:eastAsia="微软雅黑" w:hAnsi="微软雅黑" w:cs="Arial" w:hint="eastAsia"/>
                <w:color w:val="000000"/>
                <w:kern w:val="0"/>
                <w:sz w:val="18"/>
                <w:szCs w:val="18"/>
              </w:rPr>
              <w:t>.00%</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门槛扣除项中未扣除部分</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对未并表金融机构的小额少数资本投资中未扣除部分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66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机构的大额少数资本投资中未扣除部分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w:t>
            </w:r>
            <w:proofErr w:type="gramStart"/>
            <w:r w:rsidRPr="00B837DE">
              <w:rPr>
                <w:rFonts w:ascii="微软雅黑" w:eastAsia="微软雅黑" w:hAnsi="微软雅黑" w:cs="Arial" w:hint="eastAsia"/>
                <w:color w:val="000000"/>
                <w:kern w:val="0"/>
                <w:sz w:val="18"/>
                <w:szCs w:val="18"/>
              </w:rPr>
              <w:t>净递延税</w:t>
            </w:r>
            <w:proofErr w:type="gramEnd"/>
            <w:r w:rsidRPr="00B837DE">
              <w:rPr>
                <w:rFonts w:ascii="微软雅黑" w:eastAsia="微软雅黑" w:hAnsi="微软雅黑" w:cs="Arial" w:hint="eastAsia"/>
                <w:color w:val="000000"/>
                <w:kern w:val="0"/>
                <w:sz w:val="18"/>
                <w:szCs w:val="18"/>
              </w:rPr>
              <w:t>资产（扣除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1.1</w:t>
            </w:r>
            <w:r w:rsidR="002C74C8">
              <w:rPr>
                <w:rFonts w:ascii="微软雅黑" w:eastAsia="微软雅黑" w:hAnsi="微软雅黑" w:cs="Arial"/>
                <w:color w:val="000000"/>
                <w:kern w:val="0"/>
                <w:sz w:val="18"/>
                <w:szCs w:val="18"/>
              </w:rPr>
              <w:t>8</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可计入二级资本的超额损失准备的限额</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权重法下，实际计提的超额损失准备金额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D61E2D">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8.</w:t>
            </w:r>
            <w:r w:rsidR="00AC0237">
              <w:rPr>
                <w:rFonts w:ascii="微软雅黑" w:eastAsia="微软雅黑" w:hAnsi="微软雅黑" w:cs="Arial" w:hint="eastAsia"/>
                <w:color w:val="000000"/>
                <w:kern w:val="0"/>
                <w:sz w:val="18"/>
                <w:szCs w:val="18"/>
              </w:rPr>
              <w:t>46</w:t>
            </w:r>
            <w:bookmarkStart w:id="5" w:name="_GoBack"/>
            <w:bookmarkEnd w:id="5"/>
            <w:r w:rsidRPr="00B837DE">
              <w:rPr>
                <w:rFonts w:ascii="微软雅黑" w:eastAsia="微软雅黑" w:hAnsi="微软雅黑" w:cs="Arial" w:hint="eastAsia"/>
                <w:color w:val="000000"/>
                <w:kern w:val="0"/>
                <w:sz w:val="18"/>
                <w:szCs w:val="18"/>
              </w:rPr>
              <w:t xml:space="preserve">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4" w:space="0" w:color="auto"/>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69</w:t>
            </w:r>
          </w:p>
        </w:tc>
        <w:tc>
          <w:tcPr>
            <w:tcW w:w="3130" w:type="dxa"/>
            <w:tcBorders>
              <w:top w:val="nil"/>
              <w:left w:val="nil"/>
              <w:bottom w:val="single" w:sz="4" w:space="0" w:color="auto"/>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权重法下，可计入二级资本超额损失准备的数额</w:t>
            </w:r>
          </w:p>
        </w:tc>
        <w:tc>
          <w:tcPr>
            <w:tcW w:w="2310" w:type="dxa"/>
            <w:tcBorders>
              <w:top w:val="nil"/>
              <w:left w:val="nil"/>
              <w:bottom w:val="single" w:sz="4" w:space="0" w:color="auto"/>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r w:rsidR="002C74C8">
              <w:rPr>
                <w:rFonts w:ascii="微软雅黑" w:eastAsia="微软雅黑" w:hAnsi="微软雅黑" w:cs="Arial"/>
                <w:color w:val="000000"/>
                <w:kern w:val="0"/>
                <w:sz w:val="18"/>
                <w:szCs w:val="18"/>
              </w:rPr>
              <w:t>2</w:t>
            </w:r>
            <w:r w:rsidRPr="00B837DE">
              <w:rPr>
                <w:rFonts w:ascii="微软雅黑" w:eastAsia="微软雅黑" w:hAnsi="微软雅黑" w:cs="Arial" w:hint="eastAsia"/>
                <w:color w:val="000000"/>
                <w:kern w:val="0"/>
                <w:sz w:val="18"/>
                <w:szCs w:val="18"/>
              </w:rPr>
              <w:t xml:space="preserve">0 </w:t>
            </w:r>
          </w:p>
        </w:tc>
        <w:tc>
          <w:tcPr>
            <w:tcW w:w="1550" w:type="dxa"/>
            <w:tcBorders>
              <w:top w:val="nil"/>
              <w:left w:val="single" w:sz="4" w:space="0" w:color="000000"/>
              <w:bottom w:val="single" w:sz="4" w:space="0" w:color="auto"/>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bl>
    <w:p w:rsidR="001F367C" w:rsidRPr="005D0436" w:rsidRDefault="001F367C">
      <w:pPr>
        <w:widowControl/>
        <w:jc w:val="left"/>
        <w:rPr>
          <w:rFonts w:ascii="黑体" w:eastAsia="黑体" w:hAnsi="黑体" w:cs="黑体"/>
          <w:sz w:val="36"/>
          <w:szCs w:val="36"/>
        </w:rPr>
      </w:pPr>
    </w:p>
    <w:sectPr w:rsidR="001F367C" w:rsidRPr="005D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7135"/>
    <w:rsid w:val="0001320D"/>
    <w:rsid w:val="000663FA"/>
    <w:rsid w:val="00093D43"/>
    <w:rsid w:val="000A0B51"/>
    <w:rsid w:val="000A36EE"/>
    <w:rsid w:val="000D1726"/>
    <w:rsid w:val="000E2ED3"/>
    <w:rsid w:val="00110ABA"/>
    <w:rsid w:val="00176184"/>
    <w:rsid w:val="001A7AC2"/>
    <w:rsid w:val="001C3D27"/>
    <w:rsid w:val="001E7A54"/>
    <w:rsid w:val="001F367C"/>
    <w:rsid w:val="0020029D"/>
    <w:rsid w:val="0026415B"/>
    <w:rsid w:val="0027573E"/>
    <w:rsid w:val="002C74C8"/>
    <w:rsid w:val="002D7E10"/>
    <w:rsid w:val="003530BE"/>
    <w:rsid w:val="004517CD"/>
    <w:rsid w:val="0049605D"/>
    <w:rsid w:val="004A0200"/>
    <w:rsid w:val="005012F4"/>
    <w:rsid w:val="005B5AC8"/>
    <w:rsid w:val="005B6181"/>
    <w:rsid w:val="005D0436"/>
    <w:rsid w:val="00641123"/>
    <w:rsid w:val="006662D9"/>
    <w:rsid w:val="00674411"/>
    <w:rsid w:val="006A05C2"/>
    <w:rsid w:val="006C7091"/>
    <w:rsid w:val="00723CF9"/>
    <w:rsid w:val="0073272B"/>
    <w:rsid w:val="0074157D"/>
    <w:rsid w:val="00741C8C"/>
    <w:rsid w:val="007E44F7"/>
    <w:rsid w:val="0081745F"/>
    <w:rsid w:val="00881504"/>
    <w:rsid w:val="00920C43"/>
    <w:rsid w:val="009D7B92"/>
    <w:rsid w:val="00A44058"/>
    <w:rsid w:val="00A6787A"/>
    <w:rsid w:val="00AC0237"/>
    <w:rsid w:val="00AC29C1"/>
    <w:rsid w:val="00AD6A65"/>
    <w:rsid w:val="00B15B72"/>
    <w:rsid w:val="00B42DB2"/>
    <w:rsid w:val="00B50C5D"/>
    <w:rsid w:val="00B72D6E"/>
    <w:rsid w:val="00B837DE"/>
    <w:rsid w:val="00B9518E"/>
    <w:rsid w:val="00BF4771"/>
    <w:rsid w:val="00C014C7"/>
    <w:rsid w:val="00C316F4"/>
    <w:rsid w:val="00C663F0"/>
    <w:rsid w:val="00D03606"/>
    <w:rsid w:val="00D239E8"/>
    <w:rsid w:val="00D61E2D"/>
    <w:rsid w:val="00DE00BC"/>
    <w:rsid w:val="00E40B27"/>
    <w:rsid w:val="00E705DA"/>
    <w:rsid w:val="00E91A62"/>
    <w:rsid w:val="00EB77A3"/>
    <w:rsid w:val="00FB2FF1"/>
    <w:rsid w:val="00FE22E0"/>
    <w:rsid w:val="00FF0D73"/>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03A6EA-B54D-4C7A-B50B-F111555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tyle>
  <w:style w:type="paragraph" w:styleId="2">
    <w:name w:val="toc 2"/>
    <w:basedOn w:val="a"/>
    <w:next w:val="a"/>
    <w:uiPriority w:val="39"/>
    <w:pPr>
      <w:ind w:leftChars="200" w:left="420"/>
    </w:pPr>
  </w:style>
  <w:style w:type="paragraph" w:customStyle="1" w:styleId="WPSOffice1">
    <w:name w:val="WPSOffice手动目录 1"/>
  </w:style>
  <w:style w:type="paragraph" w:customStyle="1" w:styleId="WPSOffice2">
    <w:name w:val="WPSOffice手动目录 2"/>
    <w:pPr>
      <w:ind w:leftChars="200" w:left="200"/>
    </w:pPr>
  </w:style>
  <w:style w:type="character" w:styleId="a3">
    <w:name w:val="Hyperlink"/>
    <w:basedOn w:val="a0"/>
    <w:uiPriority w:val="99"/>
    <w:unhideWhenUsed/>
    <w:rsid w:val="005D0436"/>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471">
      <w:bodyDiv w:val="1"/>
      <w:marLeft w:val="0"/>
      <w:marRight w:val="0"/>
      <w:marTop w:val="0"/>
      <w:marBottom w:val="0"/>
      <w:divBdr>
        <w:top w:val="none" w:sz="0" w:space="0" w:color="auto"/>
        <w:left w:val="none" w:sz="0" w:space="0" w:color="auto"/>
        <w:bottom w:val="none" w:sz="0" w:space="0" w:color="auto"/>
        <w:right w:val="none" w:sz="0" w:space="0" w:color="auto"/>
      </w:divBdr>
    </w:div>
    <w:div w:id="464589901">
      <w:bodyDiv w:val="1"/>
      <w:marLeft w:val="0"/>
      <w:marRight w:val="0"/>
      <w:marTop w:val="0"/>
      <w:marBottom w:val="0"/>
      <w:divBdr>
        <w:top w:val="none" w:sz="0" w:space="0" w:color="auto"/>
        <w:left w:val="none" w:sz="0" w:space="0" w:color="auto"/>
        <w:bottom w:val="none" w:sz="0" w:space="0" w:color="auto"/>
        <w:right w:val="none" w:sz="0" w:space="0" w:color="auto"/>
      </w:divBdr>
    </w:div>
    <w:div w:id="127887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625b0-180b-4e5e-83a0-8736dcd4bb68}"/>
        <w:category>
          <w:name w:val="常规"/>
          <w:gallery w:val="placeholder"/>
        </w:category>
        <w:types>
          <w:type w:val="bbPlcHdr"/>
        </w:types>
        <w:behaviors>
          <w:behavior w:val="content"/>
        </w:behaviors>
        <w:guid w:val="{8A0625B0-180B-4E5E-83A0-8736DCD4BB68}"/>
      </w:docPartPr>
      <w:docPartBody>
        <w:p w:rsidR="00141DB1" w:rsidRDefault="00A67F30">
          <w:r>
            <w:rPr>
              <w:color w:val="808080"/>
            </w:rPr>
            <w:t>单击此处输入文字。</w:t>
          </w:r>
        </w:p>
      </w:docPartBody>
    </w:docPart>
    <w:docPart>
      <w:docPartPr>
        <w:name w:val="{784ec47e-fc7a-4d75-91aa-84ae90c91146}"/>
        <w:category>
          <w:name w:val="常规"/>
          <w:gallery w:val="placeholder"/>
        </w:category>
        <w:types>
          <w:type w:val="bbPlcHdr"/>
        </w:types>
        <w:behaviors>
          <w:behavior w:val="content"/>
        </w:behaviors>
        <w:guid w:val="{784EC47E-FC7A-4D75-91AA-84AE90C91146}"/>
      </w:docPartPr>
      <w:docPartBody>
        <w:p w:rsidR="00141DB1" w:rsidRDefault="00A67F30">
          <w:r>
            <w:rPr>
              <w:color w:val="808080"/>
            </w:rPr>
            <w:t>单击此处输入文字。</w:t>
          </w:r>
        </w:p>
      </w:docPartBody>
    </w:docPart>
    <w:docPart>
      <w:docPartPr>
        <w:name w:val="91D61BFFCCDD44A7AD13BAE3915DB52D"/>
        <w:category>
          <w:name w:val="常规"/>
          <w:gallery w:val="placeholder"/>
        </w:category>
        <w:types>
          <w:type w:val="bbPlcHdr"/>
        </w:types>
        <w:behaviors>
          <w:behavior w:val="content"/>
        </w:behaviors>
        <w:guid w:val="{EE49F0A0-3CFA-48DD-8F3A-B0D6D3FB3F48}"/>
      </w:docPartPr>
      <w:docPartBody>
        <w:p w:rsidR="00887DA8" w:rsidRDefault="00D67206" w:rsidP="00D67206">
          <w:pPr>
            <w:pStyle w:val="91D61BFFCCDD44A7AD13BAE3915DB52D"/>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141DB1"/>
    <w:rsid w:val="00036BD4"/>
    <w:rsid w:val="00141DB1"/>
    <w:rsid w:val="002968A7"/>
    <w:rsid w:val="0031638A"/>
    <w:rsid w:val="007760BB"/>
    <w:rsid w:val="00887DA8"/>
    <w:rsid w:val="008F6AD8"/>
    <w:rsid w:val="00A415D5"/>
    <w:rsid w:val="00A67F30"/>
    <w:rsid w:val="00C425D3"/>
    <w:rsid w:val="00D67206"/>
    <w:rsid w:val="00E64EDC"/>
    <w:rsid w:val="00F6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C19D8A196842EBB6B61169A54D5B6A">
    <w:name w:val="42C19D8A196842EBB6B61169A54D5B6A"/>
    <w:rsid w:val="00D67206"/>
    <w:pPr>
      <w:widowControl w:val="0"/>
      <w:jc w:val="both"/>
    </w:pPr>
    <w:rPr>
      <w:kern w:val="2"/>
      <w:sz w:val="21"/>
      <w:szCs w:val="22"/>
    </w:rPr>
  </w:style>
  <w:style w:type="paragraph" w:customStyle="1" w:styleId="91D61BFFCCDD44A7AD13BAE3915DB52D">
    <w:name w:val="91D61BFFCCDD44A7AD13BAE3915DB52D"/>
    <w:rsid w:val="00D672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581</Words>
  <Characters>3312</Characters>
  <Application>Microsoft Office Word</Application>
  <DocSecurity>0</DocSecurity>
  <Lines>27</Lines>
  <Paragraphs>7</Paragraphs>
  <ScaleCrop>false</ScaleCrop>
  <Company>Lenovo</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jiayuanyuan</dc:creator>
  <cp:lastModifiedBy>贾媛媛</cp:lastModifiedBy>
  <cp:revision>94</cp:revision>
  <dcterms:created xsi:type="dcterms:W3CDTF">2022-12-02T02:22:00Z</dcterms:created>
  <dcterms:modified xsi:type="dcterms:W3CDTF">2025-01-21T03:23:00Z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C2A2C43835414C3186BB00B961B6401E</vt:lpwstr>
  </property>
</Properties>
</file>