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A4405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通用技术集团财务有限责任公司</w:t>
      </w:r>
    </w:p>
    <w:p w:rsidR="001F367C" w:rsidRDefault="00A4405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2024年第</w:t>
      </w:r>
      <w:r w:rsidR="005803FE">
        <w:rPr>
          <w:rFonts w:ascii="黑体" w:eastAsia="黑体" w:hAnsi="黑体" w:cs="黑体" w:hint="eastAsia"/>
          <w:sz w:val="36"/>
          <w:szCs w:val="36"/>
        </w:rPr>
        <w:t>三</w:t>
      </w:r>
      <w:r>
        <w:rPr>
          <w:rFonts w:ascii="黑体" w:eastAsia="黑体" w:hAnsi="黑体" w:cs="黑体" w:hint="eastAsia"/>
          <w:sz w:val="36"/>
          <w:szCs w:val="36"/>
        </w:rPr>
        <w:t>季度第三支柱信息披露报告</w:t>
      </w: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sdt>
      <w:sdtPr>
        <w:rPr>
          <w:rFonts w:ascii="宋体" w:eastAsia="宋体" w:hAnsi="宋体"/>
          <w:sz w:val="44"/>
          <w:szCs w:val="44"/>
        </w:rPr>
        <w:id w:val="147471422"/>
        <w15:color w:val="DBDBDB"/>
        <w:docPartObj>
          <w:docPartGallery w:val="Table of Contents"/>
          <w:docPartUnique/>
        </w:docPartObj>
      </w:sdtPr>
      <w:sdtEndPr>
        <w:rPr>
          <w:rFonts w:ascii="黑体" w:eastAsia="黑体" w:hAnsi="黑体" w:cs="黑体" w:hint="eastAsia"/>
          <w:b/>
          <w:sz w:val="21"/>
          <w:szCs w:val="36"/>
        </w:rPr>
      </w:sdtEndPr>
      <w:sdtContent>
        <w:p w:rsidR="001F367C" w:rsidRDefault="00A44058">
          <w:pPr>
            <w:jc w:val="center"/>
            <w:rPr>
              <w:rFonts w:ascii="宋体" w:eastAsia="宋体" w:hAnsi="宋体"/>
              <w:sz w:val="44"/>
              <w:szCs w:val="44"/>
            </w:rPr>
          </w:pPr>
          <w:r>
            <w:rPr>
              <w:rFonts w:ascii="宋体" w:eastAsia="宋体" w:hAnsi="宋体"/>
              <w:sz w:val="44"/>
              <w:szCs w:val="44"/>
            </w:rPr>
            <w:t>目录</w:t>
          </w:r>
        </w:p>
        <w:p w:rsidR="001F367C" w:rsidRDefault="001F367C">
          <w:pPr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C17986" w:rsidRDefault="00A44058">
          <w:pPr>
            <w:pStyle w:val="1"/>
            <w:tabs>
              <w:tab w:val="right" w:leader="dot" w:pos="8296"/>
            </w:tabs>
            <w:rPr>
              <w:noProof/>
              <w:szCs w:val="22"/>
            </w:rPr>
          </w:pPr>
          <w:r>
            <w:rPr>
              <w:rFonts w:ascii="黑体" w:eastAsia="黑体" w:hAnsi="黑体" w:cs="黑体" w:hint="eastAsia"/>
              <w:kern w:val="0"/>
              <w:sz w:val="36"/>
              <w:szCs w:val="36"/>
            </w:rPr>
            <w:fldChar w:fldCharType="begin"/>
          </w:r>
          <w:r>
            <w:rPr>
              <w:rFonts w:ascii="黑体" w:eastAsia="黑体" w:hAnsi="黑体" w:cs="黑体" w:hint="eastAsia"/>
              <w:sz w:val="36"/>
              <w:szCs w:val="36"/>
            </w:rPr>
            <w:instrText xml:space="preserve">TOC \o "1-2" \h \u </w:instrText>
          </w:r>
          <w:r>
            <w:rPr>
              <w:rFonts w:ascii="黑体" w:eastAsia="黑体" w:hAnsi="黑体" w:cs="黑体" w:hint="eastAsia"/>
              <w:kern w:val="0"/>
              <w:sz w:val="36"/>
              <w:szCs w:val="36"/>
            </w:rPr>
            <w:fldChar w:fldCharType="separate"/>
          </w:r>
          <w:hyperlink w:anchor="_Toc181121885" w:history="1">
            <w:r w:rsidR="00C17986" w:rsidRPr="00833033">
              <w:rPr>
                <w:rStyle w:val="a3"/>
                <w:rFonts w:ascii="黑体" w:eastAsia="黑体" w:hAnsi="黑体" w:cs="黑体"/>
                <w:noProof/>
              </w:rPr>
              <w:t>1引言</w:t>
            </w:r>
            <w:r w:rsidR="00C17986">
              <w:rPr>
                <w:noProof/>
              </w:rPr>
              <w:tab/>
            </w:r>
            <w:r w:rsidR="00C17986">
              <w:rPr>
                <w:noProof/>
              </w:rPr>
              <w:fldChar w:fldCharType="begin"/>
            </w:r>
            <w:r w:rsidR="00C17986">
              <w:rPr>
                <w:noProof/>
              </w:rPr>
              <w:instrText xml:space="preserve"> PAGEREF _Toc181121885 \h </w:instrText>
            </w:r>
            <w:r w:rsidR="00C17986">
              <w:rPr>
                <w:noProof/>
              </w:rPr>
            </w:r>
            <w:r w:rsidR="00C17986">
              <w:rPr>
                <w:noProof/>
              </w:rPr>
              <w:fldChar w:fldCharType="separate"/>
            </w:r>
            <w:r w:rsidR="00C17986">
              <w:rPr>
                <w:noProof/>
              </w:rPr>
              <w:t>3</w:t>
            </w:r>
            <w:r w:rsidR="00C17986">
              <w:rPr>
                <w:noProof/>
              </w:rPr>
              <w:fldChar w:fldCharType="end"/>
            </w:r>
          </w:hyperlink>
        </w:p>
        <w:p w:rsidR="00C17986" w:rsidRDefault="00C17986">
          <w:pPr>
            <w:pStyle w:val="2"/>
            <w:tabs>
              <w:tab w:val="right" w:leader="dot" w:pos="8296"/>
            </w:tabs>
            <w:rPr>
              <w:noProof/>
              <w:szCs w:val="22"/>
            </w:rPr>
          </w:pPr>
          <w:hyperlink w:anchor="_Toc181121886" w:history="1">
            <w:r w:rsidRPr="00833033">
              <w:rPr>
                <w:rStyle w:val="a3"/>
                <w:rFonts w:eastAsia="黑体"/>
                <w:noProof/>
              </w:rPr>
              <w:t xml:space="preserve">1.1 </w:t>
            </w:r>
            <w:r w:rsidRPr="00833033">
              <w:rPr>
                <w:rStyle w:val="a3"/>
                <w:rFonts w:eastAsia="黑体"/>
                <w:noProof/>
              </w:rPr>
              <w:t>披露依据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_Toc181121886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C17986" w:rsidRDefault="00C17986">
          <w:pPr>
            <w:pStyle w:val="2"/>
            <w:tabs>
              <w:tab w:val="right" w:leader="dot" w:pos="8296"/>
            </w:tabs>
            <w:rPr>
              <w:noProof/>
              <w:szCs w:val="22"/>
            </w:rPr>
          </w:pPr>
          <w:hyperlink w:anchor="_Toc181121887" w:history="1">
            <w:r w:rsidRPr="00833033">
              <w:rPr>
                <w:rStyle w:val="a3"/>
                <w:rFonts w:eastAsia="黑体"/>
                <w:noProof/>
              </w:rPr>
              <w:t xml:space="preserve">1.2 </w:t>
            </w:r>
            <w:r w:rsidRPr="00833033">
              <w:rPr>
                <w:rStyle w:val="a3"/>
                <w:rFonts w:eastAsia="黑体"/>
                <w:noProof/>
              </w:rPr>
              <w:t>披露声明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_Toc181121887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C17986" w:rsidRDefault="00C17986">
          <w:pPr>
            <w:pStyle w:val="1"/>
            <w:tabs>
              <w:tab w:val="right" w:leader="dot" w:pos="8296"/>
            </w:tabs>
            <w:rPr>
              <w:noProof/>
              <w:szCs w:val="22"/>
            </w:rPr>
          </w:pPr>
          <w:hyperlink w:anchor="_Toc181121888" w:history="1">
            <w:r w:rsidRPr="00833033">
              <w:rPr>
                <w:rStyle w:val="a3"/>
                <w:rFonts w:ascii="黑体" w:eastAsia="黑体" w:hAnsi="黑体" w:cs="黑体"/>
                <w:noProof/>
              </w:rPr>
              <w:t>2</w:t>
            </w:r>
            <w:r w:rsidRPr="00833033">
              <w:rPr>
                <w:rStyle w:val="a3"/>
                <w:rFonts w:ascii="黑体" w:eastAsia="黑体" w:hAnsi="黑体" w:cs="黑体"/>
                <w:bCs/>
                <w:noProof/>
                <w:kern w:val="0"/>
                <w:lang w:bidi="ar"/>
              </w:rPr>
              <w:t>关键审慎监管指标概览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_Toc181121888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1F367C" w:rsidRDefault="00A44058">
          <w:pPr>
            <w:jc w:val="center"/>
            <w:rPr>
              <w:rFonts w:ascii="黑体" w:eastAsia="黑体" w:hAnsi="黑体" w:cs="黑体"/>
              <w:sz w:val="36"/>
              <w:szCs w:val="36"/>
            </w:rPr>
          </w:pPr>
          <w:r>
            <w:rPr>
              <w:rFonts w:ascii="黑体" w:eastAsia="黑体" w:hAnsi="黑体" w:cs="黑体" w:hint="eastAsia"/>
              <w:b/>
              <w:szCs w:val="36"/>
            </w:rPr>
            <w:fldChar w:fldCharType="end"/>
          </w:r>
        </w:p>
      </w:sdtContent>
    </w:sdt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A44058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br w:type="page"/>
      </w: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bookmarkStart w:id="0" w:name="_Toc181121885" w:displacedByCustomXml="next"/>
    <w:sdt>
      <w:sdtPr>
        <w:rPr>
          <w:rFonts w:ascii="黑体" w:eastAsia="黑体" w:hAnsi="黑体" w:cs="黑体"/>
          <w:sz w:val="36"/>
          <w:szCs w:val="36"/>
        </w:rPr>
        <w:id w:val="-29964183"/>
        <w:placeholder>
          <w:docPart w:val="{8a0625b0-180b-4e5e-83a0-8736dcd4bb68}"/>
        </w:placeholder>
        <w15:color w:val="509DF3"/>
      </w:sdtPr>
      <w:sdtEndPr/>
      <w:sdtContent>
        <w:p w:rsidR="001F367C" w:rsidRDefault="00A44058">
          <w:pPr>
            <w:spacing w:line="360" w:lineRule="auto"/>
            <w:jc w:val="left"/>
            <w:outlineLvl w:val="0"/>
            <w:rPr>
              <w:rFonts w:ascii="黑体" w:eastAsia="黑体" w:hAnsi="黑体" w:cs="黑体"/>
              <w:sz w:val="36"/>
              <w:szCs w:val="36"/>
            </w:rPr>
          </w:pPr>
          <w:r>
            <w:rPr>
              <w:rFonts w:ascii="黑体" w:eastAsia="黑体" w:hAnsi="黑体" w:cs="黑体" w:hint="eastAsia"/>
              <w:sz w:val="36"/>
              <w:szCs w:val="36"/>
            </w:rPr>
            <w:t>1引言</w:t>
          </w:r>
        </w:p>
      </w:sdtContent>
    </w:sdt>
    <w:bookmarkEnd w:id="0" w:displacedByCustomXml="prev"/>
    <w:p w:rsidR="001F367C" w:rsidRDefault="00A44058">
      <w:pPr>
        <w:spacing w:line="360" w:lineRule="auto"/>
        <w:jc w:val="left"/>
        <w:outlineLvl w:val="1"/>
        <w:rPr>
          <w:rFonts w:ascii="黑体" w:eastAsia="黑体" w:hAnsi="黑体" w:cs="黑体"/>
          <w:sz w:val="28"/>
          <w:szCs w:val="28"/>
        </w:rPr>
      </w:pPr>
      <w:bookmarkStart w:id="1" w:name="_Toc181121886"/>
      <w:r>
        <w:rPr>
          <w:rFonts w:eastAsia="黑体" w:hint="eastAsia"/>
          <w:sz w:val="24"/>
        </w:rPr>
        <w:t xml:space="preserve">1.1 </w:t>
      </w:r>
      <w:r>
        <w:rPr>
          <w:rFonts w:eastAsia="黑体" w:hint="eastAsia"/>
          <w:sz w:val="24"/>
        </w:rPr>
        <w:t>披露依据</w:t>
      </w:r>
      <w:bookmarkEnd w:id="1"/>
    </w:p>
    <w:p w:rsidR="001F367C" w:rsidRDefault="00A4405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本报告根据国家金融监督管理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总局令第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4 号《商业银行资本管理办法》编制并披露。</w:t>
      </w:r>
    </w:p>
    <w:p w:rsidR="001F367C" w:rsidRDefault="00A44058">
      <w:pPr>
        <w:spacing w:line="360" w:lineRule="auto"/>
        <w:jc w:val="left"/>
        <w:outlineLvl w:val="1"/>
        <w:rPr>
          <w:rFonts w:ascii="黑体" w:eastAsia="黑体" w:hAnsi="黑体" w:cs="黑体"/>
          <w:sz w:val="28"/>
          <w:szCs w:val="28"/>
        </w:rPr>
      </w:pPr>
      <w:bookmarkStart w:id="2" w:name="_Toc181121887"/>
      <w:r>
        <w:rPr>
          <w:rFonts w:eastAsia="黑体" w:hint="eastAsia"/>
          <w:sz w:val="24"/>
        </w:rPr>
        <w:t xml:space="preserve">1.2 </w:t>
      </w:r>
      <w:r>
        <w:rPr>
          <w:rFonts w:eastAsia="黑体" w:hint="eastAsia"/>
          <w:sz w:val="24"/>
        </w:rPr>
        <w:t>披露声明</w:t>
      </w:r>
      <w:bookmarkEnd w:id="2"/>
    </w:p>
    <w:p w:rsidR="001F367C" w:rsidRDefault="00A4405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本报告是按照国家金融监督管理总局《商业银行资本管理办法》正文第九章信息披露及附件22商业银行信息披露内容和要求编制，而非财务会计准则。</w:t>
      </w:r>
    </w:p>
    <w:p w:rsidR="001F367C" w:rsidRDefault="00A4405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br w:type="page"/>
      </w:r>
    </w:p>
    <w:bookmarkStart w:id="3" w:name="_Toc181121888" w:displacedByCustomXml="next"/>
    <w:sdt>
      <w:sdtPr>
        <w:rPr>
          <w:rFonts w:ascii="黑体" w:eastAsia="黑体" w:hAnsi="黑体" w:cs="黑体"/>
          <w:sz w:val="36"/>
          <w:szCs w:val="36"/>
        </w:rPr>
        <w:id w:val="-760911480"/>
        <w:placeholder>
          <w:docPart w:val="{784ec47e-fc7a-4d75-91aa-84ae90c91146}"/>
        </w:placeholder>
        <w15:color w:val="509DF3"/>
      </w:sdtPr>
      <w:sdtEndPr/>
      <w:sdtContent>
        <w:p w:rsidR="001F367C" w:rsidRPr="00723CF9" w:rsidRDefault="00A44058">
          <w:pPr>
            <w:widowControl/>
            <w:spacing w:line="360" w:lineRule="auto"/>
            <w:jc w:val="left"/>
            <w:outlineLvl w:val="0"/>
            <w:rPr>
              <w:rFonts w:ascii="黑体" w:eastAsia="黑体" w:hAnsi="黑体" w:cs="黑体"/>
              <w:sz w:val="36"/>
              <w:szCs w:val="36"/>
            </w:rPr>
          </w:pPr>
          <w:r w:rsidRPr="00723CF9">
            <w:rPr>
              <w:rFonts w:ascii="黑体" w:eastAsia="黑体" w:hAnsi="黑体" w:cs="黑体" w:hint="eastAsia"/>
              <w:sz w:val="36"/>
              <w:szCs w:val="36"/>
            </w:rPr>
            <w:t>2</w:t>
          </w:r>
          <w:r w:rsidRPr="00723CF9">
            <w:rPr>
              <w:rFonts w:ascii="黑体" w:eastAsia="黑体" w:hAnsi="黑体" w:cs="黑体" w:hint="eastAsia"/>
              <w:bCs/>
              <w:color w:val="000000"/>
              <w:kern w:val="0"/>
              <w:sz w:val="36"/>
              <w:szCs w:val="36"/>
              <w:lang w:bidi="ar"/>
            </w:rPr>
            <w:t>关键审慎监管指标概览</w:t>
          </w:r>
        </w:p>
      </w:sdtContent>
    </w:sdt>
    <w:bookmarkEnd w:id="3" w:displacedByCustomXml="prev"/>
    <w:p w:rsidR="001F367C" w:rsidRDefault="00A44058" w:rsidP="005D043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关键审慎监管指标包括资本充足率、杠杆率以及流动性风险相关的指标。本公司关键审慎监管指标概览如下。</w:t>
      </w:r>
    </w:p>
    <w:p w:rsidR="005D0436" w:rsidRPr="00C316F4" w:rsidRDefault="005D0436" w:rsidP="00C316F4">
      <w:pPr>
        <w:widowControl/>
        <w:spacing w:line="360" w:lineRule="auto"/>
        <w:ind w:firstLineChars="200" w:firstLine="482"/>
        <w:jc w:val="left"/>
        <w:rPr>
          <w:rFonts w:eastAsia="宋体"/>
          <w:b/>
          <w:sz w:val="24"/>
        </w:rPr>
      </w:pPr>
      <w:r w:rsidRPr="005D0436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表格KM1：监管并</w:t>
      </w:r>
      <w:proofErr w:type="gramStart"/>
      <w:r w:rsidRPr="005D0436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表关键</w:t>
      </w:r>
      <w:proofErr w:type="gramEnd"/>
      <w:r w:rsidRPr="005D0436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审慎监管指标</w:t>
      </w:r>
    </w:p>
    <w:p w:rsidR="001F367C" w:rsidRDefault="000663FA">
      <w:pPr>
        <w:widowControl/>
        <w:spacing w:line="360" w:lineRule="auto"/>
        <w:jc w:val="left"/>
      </w:pPr>
      <w:r>
        <w:rPr>
          <w:rFonts w:ascii="黑体" w:eastAsia="黑体" w:hAnsi="黑体" w:cs="黑体" w:hint="eastAsia"/>
          <w:sz w:val="36"/>
          <w:szCs w:val="36"/>
        </w:rPr>
        <w:t xml:space="preserve">                             </w:t>
      </w:r>
      <w:r w:rsidR="00A44058"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单位：人民币亿元，百分比除外</w:t>
      </w:r>
    </w:p>
    <w:tbl>
      <w:tblPr>
        <w:tblW w:w="8424" w:type="dxa"/>
        <w:jc w:val="center"/>
        <w:tblLook w:val="04A0" w:firstRow="1" w:lastRow="0" w:firstColumn="1" w:lastColumn="0" w:noHBand="0" w:noVBand="1"/>
      </w:tblPr>
      <w:tblGrid>
        <w:gridCol w:w="689"/>
        <w:gridCol w:w="2188"/>
        <w:gridCol w:w="1790"/>
        <w:gridCol w:w="1941"/>
        <w:gridCol w:w="1816"/>
      </w:tblGrid>
      <w:tr w:rsidR="005803FE" w:rsidTr="00BB4060">
        <w:trPr>
          <w:trHeight w:val="280"/>
          <w:jc w:val="center"/>
        </w:trPr>
        <w:tc>
          <w:tcPr>
            <w:tcW w:w="2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3FE" w:rsidRDefault="005803FE" w:rsidP="0001320D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FE" w:rsidRDefault="005803FE" w:rsidP="0001320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FE" w:rsidRDefault="005803FE" w:rsidP="0001320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FE" w:rsidRDefault="005803FE" w:rsidP="0001320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4601" w:rsidTr="00BB4060">
        <w:trPr>
          <w:trHeight w:val="280"/>
          <w:jc w:val="center"/>
        </w:trPr>
        <w:tc>
          <w:tcPr>
            <w:tcW w:w="2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601" w:rsidRDefault="00A84601" w:rsidP="00A84601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601" w:rsidRDefault="00A84601" w:rsidP="00A8460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2024年</w:t>
            </w:r>
            <w:r w:rsidR="00BB4060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月3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01" w:rsidRDefault="00A84601" w:rsidP="00A8460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2024年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月3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01" w:rsidRDefault="00A84601" w:rsidP="00A8460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2024年3月31日</w:t>
            </w:r>
          </w:p>
        </w:tc>
      </w:tr>
      <w:tr w:rsidR="00A84601" w:rsidTr="00BB4060">
        <w:trPr>
          <w:trHeight w:val="280"/>
          <w:jc w:val="center"/>
        </w:trPr>
        <w:tc>
          <w:tcPr>
            <w:tcW w:w="46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4601" w:rsidRDefault="00A84601" w:rsidP="00A84601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可用资本（数额）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4601" w:rsidRDefault="00A84601" w:rsidP="00A84601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4601" w:rsidRDefault="00A84601" w:rsidP="00A84601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核心一级资本净额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59.26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Pr="00D02874" w:rsidRDefault="00C87443" w:rsidP="00C87443">
            <w:pPr>
              <w:jc w:val="right"/>
            </w:pPr>
            <w:r w:rsidRPr="00D02874">
              <w:t xml:space="preserve">58.63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57.97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一级资本净额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59.26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Pr="00D02874" w:rsidRDefault="00C87443" w:rsidP="00C87443">
            <w:pPr>
              <w:jc w:val="right"/>
            </w:pPr>
            <w:r w:rsidRPr="00D02874">
              <w:t xml:space="preserve">58.63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57.97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资本净额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64.05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jc w:val="right"/>
            </w:pPr>
            <w:r w:rsidRPr="00D02874">
              <w:t xml:space="preserve">63.73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63.64</w:t>
            </w:r>
          </w:p>
        </w:tc>
      </w:tr>
      <w:tr w:rsidR="00A84601" w:rsidTr="00BB4060">
        <w:trPr>
          <w:trHeight w:val="420"/>
          <w:jc w:val="center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4601" w:rsidRDefault="00A84601" w:rsidP="00A84601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风险加权资产（数额）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4601" w:rsidRDefault="00A84601" w:rsidP="00A84601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4601" w:rsidRDefault="00A84601" w:rsidP="00A84601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风险加权资产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392.90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418.42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464.98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资本充足率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核心一级资本充足率（%）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15.08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Pr="007B2B38" w:rsidRDefault="00C87443" w:rsidP="00C87443">
            <w:pPr>
              <w:jc w:val="right"/>
            </w:pPr>
            <w:r w:rsidRPr="007B2B38">
              <w:t xml:space="preserve">14.01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12.47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一级资本充足率（%）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15.08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Pr="007B2B38" w:rsidRDefault="00C87443" w:rsidP="00C87443">
            <w:pPr>
              <w:jc w:val="right"/>
            </w:pPr>
            <w:r w:rsidRPr="007B2B38">
              <w:t xml:space="preserve">14.01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12.47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资本充足率（%）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16.30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jc w:val="right"/>
            </w:pPr>
            <w:r w:rsidRPr="007B2B38">
              <w:t xml:space="preserve">15.23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13.69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其他各级资本要求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储备资本要求（%）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2.50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2.50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2.50 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逆周期资本要求（%）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全球系统重要性银行或国内系统重要性银行附加资本要求（%）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87443" w:rsidRDefault="00C87443" w:rsidP="00C8744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87443" w:rsidRDefault="00C87443" w:rsidP="00C8744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87443" w:rsidRDefault="00C87443" w:rsidP="00C87443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C87443" w:rsidTr="00C745BA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其他各级资本要求（%）（8+9+10）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2.50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2.50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</w:tr>
      <w:tr w:rsidR="00C87443" w:rsidTr="00C745BA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满足最低资本要求后的可用核心一级资本净额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占风险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加权资产的比例（%）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AB309D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7.23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5.69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杠杆率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AB309D" w:rsidTr="00554A91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调整后表内外资产余额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widowControl/>
              <w:jc w:val="righ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483.64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9D" w:rsidRPr="00D31CC2" w:rsidRDefault="00AB309D" w:rsidP="00AB309D">
            <w:pPr>
              <w:jc w:val="right"/>
            </w:pPr>
            <w:r w:rsidRPr="00D31CC2">
              <w:t>551.89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9D" w:rsidRDefault="00AB309D" w:rsidP="00AB309D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530.31</w:t>
            </w:r>
          </w:p>
        </w:tc>
      </w:tr>
      <w:tr w:rsidR="00AB309D" w:rsidTr="00554A91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杠杆率（%）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9D" w:rsidRPr="00D31CC2" w:rsidRDefault="00AB309D" w:rsidP="00AB309D">
            <w:pPr>
              <w:jc w:val="right"/>
            </w:pPr>
            <w:r w:rsidRPr="00D31CC2">
              <w:t>10.62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9D" w:rsidRDefault="00AB309D" w:rsidP="00AB309D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10.93</w:t>
            </w:r>
          </w:p>
        </w:tc>
      </w:tr>
      <w:tr w:rsidR="00AB309D" w:rsidTr="00554A91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14a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杠杆率a（%）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09D" w:rsidRDefault="00AB309D" w:rsidP="00AB309D">
            <w:pPr>
              <w:jc w:val="right"/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9D" w:rsidRDefault="00AB309D" w:rsidP="00AB309D">
            <w:pPr>
              <w:jc w:val="right"/>
            </w:pPr>
            <w:r w:rsidRPr="00D31CC2">
              <w:t>10.62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9D" w:rsidRDefault="00AB309D" w:rsidP="00AB309D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10.93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流动性覆盖率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87443" w:rsidTr="00554A91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合格优质流动性资产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C87443" w:rsidTr="00554A91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现金净流出量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C87443" w:rsidTr="00554A91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流动性覆盖率（%）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净稳定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资金比例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可用稳定资金合计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所需稳定资金合计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净稳定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资金比例（%）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C87443" w:rsidTr="00BB4060">
        <w:trPr>
          <w:trHeight w:val="420"/>
          <w:jc w:val="center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流动性比例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87443" w:rsidRDefault="00C87443" w:rsidP="00C87443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87443" w:rsidTr="00C05BDE">
        <w:trPr>
          <w:trHeight w:val="4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443" w:rsidRDefault="00C87443" w:rsidP="00C8744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流动性比例（%）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443" w:rsidRDefault="00AB309D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66.37</w:t>
            </w:r>
            <w:bookmarkStart w:id="4" w:name="_GoBack"/>
            <w:bookmarkEnd w:id="4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443" w:rsidRDefault="00C87443" w:rsidP="00C87443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56.30</w:t>
            </w:r>
          </w:p>
        </w:tc>
      </w:tr>
    </w:tbl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1F367C" w:rsidRPr="005D0436" w:rsidRDefault="001F367C" w:rsidP="00C1798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sectPr w:rsidR="001F367C" w:rsidRPr="005D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NGVjYjNiMTgzNDBlODA2ZDg4YmZkM2Y5MDcxOTUifQ=="/>
  </w:docVars>
  <w:rsids>
    <w:rsidRoot w:val="001F367C"/>
    <w:rsid w:val="00007135"/>
    <w:rsid w:val="0001320D"/>
    <w:rsid w:val="000663FA"/>
    <w:rsid w:val="000A36EE"/>
    <w:rsid w:val="000D1726"/>
    <w:rsid w:val="00176184"/>
    <w:rsid w:val="001F367C"/>
    <w:rsid w:val="002236B2"/>
    <w:rsid w:val="002D7E10"/>
    <w:rsid w:val="003E4674"/>
    <w:rsid w:val="00485A1F"/>
    <w:rsid w:val="0049605D"/>
    <w:rsid w:val="004A0200"/>
    <w:rsid w:val="005012F4"/>
    <w:rsid w:val="00554A91"/>
    <w:rsid w:val="005803FE"/>
    <w:rsid w:val="005B5AC8"/>
    <w:rsid w:val="005C4220"/>
    <w:rsid w:val="005D0436"/>
    <w:rsid w:val="006662D9"/>
    <w:rsid w:val="00674411"/>
    <w:rsid w:val="006C7091"/>
    <w:rsid w:val="00723CF9"/>
    <w:rsid w:val="0073272B"/>
    <w:rsid w:val="00741C8C"/>
    <w:rsid w:val="0081745F"/>
    <w:rsid w:val="009C6790"/>
    <w:rsid w:val="00A44058"/>
    <w:rsid w:val="00A6787A"/>
    <w:rsid w:val="00A84601"/>
    <w:rsid w:val="00AB309D"/>
    <w:rsid w:val="00B15B72"/>
    <w:rsid w:val="00B42DB2"/>
    <w:rsid w:val="00B50C5D"/>
    <w:rsid w:val="00B837DE"/>
    <w:rsid w:val="00BB4060"/>
    <w:rsid w:val="00C014C7"/>
    <w:rsid w:val="00C05BDE"/>
    <w:rsid w:val="00C17986"/>
    <w:rsid w:val="00C316F4"/>
    <w:rsid w:val="00C745BA"/>
    <w:rsid w:val="00C87443"/>
    <w:rsid w:val="00D03606"/>
    <w:rsid w:val="00D239E8"/>
    <w:rsid w:val="00E705DA"/>
    <w:rsid w:val="00E91A62"/>
    <w:rsid w:val="00FB2FF1"/>
    <w:rsid w:val="00FF0D73"/>
    <w:rsid w:val="01D54D98"/>
    <w:rsid w:val="03D9122A"/>
    <w:rsid w:val="07926EDC"/>
    <w:rsid w:val="0A4D56E8"/>
    <w:rsid w:val="0D7C256C"/>
    <w:rsid w:val="0F5D553C"/>
    <w:rsid w:val="10030D22"/>
    <w:rsid w:val="124B69B1"/>
    <w:rsid w:val="15A9769C"/>
    <w:rsid w:val="1AB31597"/>
    <w:rsid w:val="1D8B05A9"/>
    <w:rsid w:val="1E285DF8"/>
    <w:rsid w:val="21F04E7F"/>
    <w:rsid w:val="23013AE3"/>
    <w:rsid w:val="237F295E"/>
    <w:rsid w:val="24547947"/>
    <w:rsid w:val="25875AFA"/>
    <w:rsid w:val="260950E1"/>
    <w:rsid w:val="266D4CF0"/>
    <w:rsid w:val="40790D6F"/>
    <w:rsid w:val="41676AB4"/>
    <w:rsid w:val="42004812"/>
    <w:rsid w:val="45D97854"/>
    <w:rsid w:val="45DD2CD8"/>
    <w:rsid w:val="46361225"/>
    <w:rsid w:val="49310D4B"/>
    <w:rsid w:val="4B4734B2"/>
    <w:rsid w:val="4C303F46"/>
    <w:rsid w:val="4D0E4287"/>
    <w:rsid w:val="4EDD6607"/>
    <w:rsid w:val="4F4C553B"/>
    <w:rsid w:val="50937738"/>
    <w:rsid w:val="51136310"/>
    <w:rsid w:val="52DE294E"/>
    <w:rsid w:val="53D55AFF"/>
    <w:rsid w:val="547323CD"/>
    <w:rsid w:val="56051FA0"/>
    <w:rsid w:val="56757125"/>
    <w:rsid w:val="58A7793C"/>
    <w:rsid w:val="59464DA9"/>
    <w:rsid w:val="5A9F6E67"/>
    <w:rsid w:val="5E4A08DE"/>
    <w:rsid w:val="600E52CC"/>
    <w:rsid w:val="60CB256C"/>
    <w:rsid w:val="624D53FA"/>
    <w:rsid w:val="65F362B8"/>
    <w:rsid w:val="686B0388"/>
    <w:rsid w:val="69937B96"/>
    <w:rsid w:val="6F6B60B9"/>
    <w:rsid w:val="74E219D2"/>
    <w:rsid w:val="76313E26"/>
    <w:rsid w:val="76D35A76"/>
    <w:rsid w:val="78727511"/>
    <w:rsid w:val="78E744AB"/>
    <w:rsid w:val="7DA91D61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084F7"/>
  <w15:docId w15:val="{9303A6EA-B54D-4C7A-B50B-F111555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</w:style>
  <w:style w:type="paragraph" w:styleId="2">
    <w:name w:val="toc 2"/>
    <w:basedOn w:val="a"/>
    <w:next w:val="a"/>
    <w:uiPriority w:val="39"/>
    <w:pPr>
      <w:ind w:leftChars="200" w:left="420"/>
    </w:p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  <w:style w:type="character" w:styleId="a3">
    <w:name w:val="Hyperlink"/>
    <w:basedOn w:val="a0"/>
    <w:uiPriority w:val="99"/>
    <w:unhideWhenUsed/>
    <w:rsid w:val="005D0436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{8a0625b0-180b-4e5e-83a0-8736dcd4bb68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0625B0-180B-4E5E-83A0-8736DCD4BB68}"/>
      </w:docPartPr>
      <w:docPartBody>
        <w:p w:rsidR="00141DB1" w:rsidRDefault="00A67F3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84ec47e-fc7a-4d75-91aa-84ae90c9114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4EC47E-FC7A-4D75-91AA-84AE90C91146}"/>
      </w:docPartPr>
      <w:docPartBody>
        <w:p w:rsidR="00141DB1" w:rsidRDefault="00A67F3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41DB1"/>
    <w:rsid w:val="00036BD4"/>
    <w:rsid w:val="00141DB1"/>
    <w:rsid w:val="002968A7"/>
    <w:rsid w:val="007760BB"/>
    <w:rsid w:val="00887DA8"/>
    <w:rsid w:val="00A415D5"/>
    <w:rsid w:val="00A67F30"/>
    <w:rsid w:val="00C26BE6"/>
    <w:rsid w:val="00D67206"/>
    <w:rsid w:val="00F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C19D8A196842EBB6B61169A54D5B6A">
    <w:name w:val="42C19D8A196842EBB6B61169A54D5B6A"/>
    <w:rsid w:val="00D67206"/>
    <w:pPr>
      <w:widowControl w:val="0"/>
      <w:jc w:val="both"/>
    </w:pPr>
    <w:rPr>
      <w:kern w:val="2"/>
      <w:sz w:val="21"/>
      <w:szCs w:val="22"/>
    </w:rPr>
  </w:style>
  <w:style w:type="paragraph" w:customStyle="1" w:styleId="91D61BFFCCDD44A7AD13BAE3915DB52D">
    <w:name w:val="91D61BFFCCDD44A7AD13BAE3915DB52D"/>
    <w:rsid w:val="00D67206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222</Words>
  <Characters>1268</Characters>
  <Application>Microsoft Office Word</Application>
  <DocSecurity>0</DocSecurity>
  <Lines>10</Lines>
  <Paragraphs>2</Paragraphs>
  <ScaleCrop>false</ScaleCrop>
  <Company>Lenovo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jiayuanyuan</dc:creator>
  <cp:lastModifiedBy>贾媛媛</cp:lastModifiedBy>
  <cp:revision>67</cp:revision>
  <dcterms:created xsi:type="dcterms:W3CDTF">2022-12-02T02:22:00Z</dcterms:created>
  <dcterms:modified xsi:type="dcterms:W3CDTF">2024-10-29T11:30:00Z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C2A2C43835414C3186BB00B961B6401E</vt:lpwstr>
  </property>
</Properties>
</file>