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6CF0B">
      <w:pPr>
        <w:jc w:val="center"/>
        <w:rPr>
          <w:rFonts w:ascii="黑体" w:hAnsi="黑体" w:eastAsia="黑体" w:cs="黑体"/>
          <w:sz w:val="36"/>
          <w:szCs w:val="36"/>
        </w:rPr>
      </w:pPr>
    </w:p>
    <w:p w14:paraId="20543F6D">
      <w:pPr>
        <w:jc w:val="center"/>
        <w:rPr>
          <w:rFonts w:ascii="黑体" w:hAnsi="黑体" w:eastAsia="黑体" w:cs="黑体"/>
          <w:sz w:val="36"/>
          <w:szCs w:val="36"/>
        </w:rPr>
      </w:pPr>
    </w:p>
    <w:p w14:paraId="4E2E0FAA">
      <w:pPr>
        <w:jc w:val="center"/>
        <w:rPr>
          <w:rFonts w:ascii="黑体" w:hAnsi="黑体" w:eastAsia="黑体" w:cs="黑体"/>
          <w:sz w:val="36"/>
          <w:szCs w:val="36"/>
        </w:rPr>
      </w:pPr>
    </w:p>
    <w:p w14:paraId="75570A80">
      <w:pPr>
        <w:jc w:val="center"/>
        <w:rPr>
          <w:rFonts w:ascii="黑体" w:hAnsi="黑体" w:eastAsia="黑体" w:cs="黑体"/>
          <w:sz w:val="36"/>
          <w:szCs w:val="36"/>
        </w:rPr>
      </w:pPr>
    </w:p>
    <w:p w14:paraId="1CD578A4">
      <w:pPr>
        <w:jc w:val="center"/>
        <w:rPr>
          <w:rFonts w:ascii="黑体" w:hAnsi="黑体" w:eastAsia="黑体" w:cs="黑体"/>
          <w:sz w:val="36"/>
          <w:szCs w:val="36"/>
        </w:rPr>
      </w:pPr>
    </w:p>
    <w:p w14:paraId="04739357">
      <w:pPr>
        <w:jc w:val="center"/>
        <w:rPr>
          <w:rFonts w:ascii="黑体" w:hAnsi="黑体" w:eastAsia="黑体" w:cs="黑体"/>
          <w:sz w:val="36"/>
          <w:szCs w:val="36"/>
        </w:rPr>
      </w:pPr>
    </w:p>
    <w:p w14:paraId="5C44680C">
      <w:pPr>
        <w:jc w:val="center"/>
        <w:rPr>
          <w:rFonts w:ascii="黑体" w:hAnsi="黑体" w:eastAsia="黑体" w:cs="黑体"/>
          <w:sz w:val="36"/>
          <w:szCs w:val="36"/>
        </w:rPr>
      </w:pPr>
      <w:r>
        <w:rPr>
          <w:rFonts w:hint="eastAsia" w:ascii="黑体" w:hAnsi="黑体" w:eastAsia="黑体" w:cs="黑体"/>
          <w:sz w:val="36"/>
          <w:szCs w:val="36"/>
        </w:rPr>
        <w:t>通用技术集团财务有限责任公司</w:t>
      </w:r>
    </w:p>
    <w:p w14:paraId="58EDA258">
      <w:pPr>
        <w:jc w:val="center"/>
        <w:rPr>
          <w:rFonts w:ascii="黑体" w:hAnsi="黑体" w:eastAsia="黑体" w:cs="黑体"/>
          <w:sz w:val="36"/>
          <w:szCs w:val="36"/>
        </w:rPr>
      </w:pPr>
      <w:r>
        <w:rPr>
          <w:rFonts w:hint="eastAsia" w:ascii="黑体" w:hAnsi="黑体" w:eastAsia="黑体" w:cs="黑体"/>
          <w:sz w:val="36"/>
          <w:szCs w:val="36"/>
        </w:rPr>
        <w:t>2024年第二季度第三支柱信息披露报告</w:t>
      </w:r>
    </w:p>
    <w:p w14:paraId="6916DAF8">
      <w:pPr>
        <w:jc w:val="center"/>
        <w:rPr>
          <w:rFonts w:ascii="黑体" w:hAnsi="黑体" w:eastAsia="黑体" w:cs="黑体"/>
          <w:sz w:val="36"/>
          <w:szCs w:val="36"/>
        </w:rPr>
      </w:pPr>
    </w:p>
    <w:p w14:paraId="4D41B2F0">
      <w:pPr>
        <w:jc w:val="center"/>
        <w:rPr>
          <w:rFonts w:ascii="黑体" w:hAnsi="黑体" w:eastAsia="黑体" w:cs="黑体"/>
          <w:sz w:val="36"/>
          <w:szCs w:val="36"/>
        </w:rPr>
      </w:pPr>
    </w:p>
    <w:p w14:paraId="0CCEEDED">
      <w:pPr>
        <w:jc w:val="center"/>
        <w:rPr>
          <w:rFonts w:ascii="黑体" w:hAnsi="黑体" w:eastAsia="黑体" w:cs="黑体"/>
          <w:sz w:val="36"/>
          <w:szCs w:val="36"/>
        </w:rPr>
      </w:pPr>
    </w:p>
    <w:p w14:paraId="3E34F1FF">
      <w:pPr>
        <w:jc w:val="center"/>
        <w:rPr>
          <w:rFonts w:ascii="黑体" w:hAnsi="黑体" w:eastAsia="黑体" w:cs="黑体"/>
          <w:sz w:val="36"/>
          <w:szCs w:val="36"/>
        </w:rPr>
      </w:pPr>
    </w:p>
    <w:p w14:paraId="16B148A6">
      <w:pPr>
        <w:jc w:val="center"/>
        <w:rPr>
          <w:rFonts w:ascii="黑体" w:hAnsi="黑体" w:eastAsia="黑体" w:cs="黑体"/>
          <w:sz w:val="36"/>
          <w:szCs w:val="36"/>
        </w:rPr>
      </w:pPr>
    </w:p>
    <w:p w14:paraId="0DA3120C">
      <w:pPr>
        <w:jc w:val="center"/>
        <w:rPr>
          <w:rFonts w:ascii="黑体" w:hAnsi="黑体" w:eastAsia="黑体" w:cs="黑体"/>
          <w:sz w:val="36"/>
          <w:szCs w:val="36"/>
        </w:rPr>
      </w:pPr>
    </w:p>
    <w:p w14:paraId="17C5400F">
      <w:pPr>
        <w:jc w:val="center"/>
        <w:rPr>
          <w:rFonts w:ascii="黑体" w:hAnsi="黑体" w:eastAsia="黑体" w:cs="黑体"/>
          <w:sz w:val="36"/>
          <w:szCs w:val="36"/>
        </w:rPr>
      </w:pPr>
    </w:p>
    <w:p w14:paraId="0DA69F35">
      <w:pPr>
        <w:jc w:val="center"/>
        <w:rPr>
          <w:rFonts w:ascii="黑体" w:hAnsi="黑体" w:eastAsia="黑体" w:cs="黑体"/>
          <w:sz w:val="36"/>
          <w:szCs w:val="36"/>
        </w:rPr>
      </w:pPr>
    </w:p>
    <w:p w14:paraId="21F3CCC7">
      <w:pPr>
        <w:jc w:val="center"/>
        <w:rPr>
          <w:rFonts w:ascii="黑体" w:hAnsi="黑体" w:eastAsia="黑体" w:cs="黑体"/>
          <w:sz w:val="36"/>
          <w:szCs w:val="36"/>
        </w:rPr>
      </w:pPr>
    </w:p>
    <w:p w14:paraId="25998B88">
      <w:pPr>
        <w:jc w:val="center"/>
        <w:rPr>
          <w:rFonts w:ascii="黑体" w:hAnsi="黑体" w:eastAsia="黑体" w:cs="黑体"/>
          <w:sz w:val="36"/>
          <w:szCs w:val="36"/>
        </w:rPr>
      </w:pPr>
    </w:p>
    <w:p w14:paraId="3EBF3EE4">
      <w:pPr>
        <w:jc w:val="center"/>
        <w:rPr>
          <w:rFonts w:ascii="黑体" w:hAnsi="黑体" w:eastAsia="黑体" w:cs="黑体"/>
          <w:sz w:val="36"/>
          <w:szCs w:val="36"/>
        </w:rPr>
      </w:pPr>
    </w:p>
    <w:p w14:paraId="0576DF8E">
      <w:pPr>
        <w:jc w:val="center"/>
        <w:rPr>
          <w:rFonts w:ascii="黑体" w:hAnsi="黑体" w:eastAsia="黑体" w:cs="黑体"/>
          <w:sz w:val="36"/>
          <w:szCs w:val="36"/>
        </w:rPr>
      </w:pPr>
    </w:p>
    <w:p w14:paraId="01A64ABA">
      <w:pPr>
        <w:jc w:val="center"/>
        <w:rPr>
          <w:rFonts w:ascii="黑体" w:hAnsi="黑体" w:eastAsia="黑体" w:cs="黑体"/>
          <w:sz w:val="36"/>
          <w:szCs w:val="36"/>
        </w:rPr>
      </w:pPr>
    </w:p>
    <w:p w14:paraId="666F8A82">
      <w:pPr>
        <w:jc w:val="center"/>
        <w:rPr>
          <w:rFonts w:ascii="黑体" w:hAnsi="黑体" w:eastAsia="黑体" w:cs="黑体"/>
          <w:sz w:val="36"/>
          <w:szCs w:val="36"/>
        </w:rPr>
      </w:pPr>
    </w:p>
    <w:sdt>
      <w:sdtPr>
        <w:rPr>
          <w:rFonts w:ascii="宋体" w:hAnsi="宋体" w:eastAsia="宋体"/>
          <w:sz w:val="44"/>
          <w:szCs w:val="44"/>
        </w:rPr>
        <w:id w:val="147471422"/>
        <w15:color w:val="DBDBDB"/>
        <w:docPartObj>
          <w:docPartGallery w:val="Table of Contents"/>
          <w:docPartUnique/>
        </w:docPartObj>
      </w:sdtPr>
      <w:sdtEndPr>
        <w:rPr>
          <w:rFonts w:hint="eastAsia" w:ascii="黑体" w:hAnsi="黑体" w:eastAsia="黑体" w:cs="黑体"/>
          <w:b/>
          <w:sz w:val="21"/>
          <w:szCs w:val="36"/>
        </w:rPr>
      </w:sdtEndPr>
      <w:sdtContent>
        <w:p w14:paraId="535D4F22">
          <w:pPr>
            <w:jc w:val="center"/>
            <w:rPr>
              <w:rFonts w:ascii="宋体" w:hAnsi="宋体" w:eastAsia="宋体"/>
              <w:sz w:val="44"/>
              <w:szCs w:val="44"/>
            </w:rPr>
          </w:pPr>
          <w:r>
            <w:rPr>
              <w:rFonts w:ascii="宋体" w:hAnsi="宋体" w:eastAsia="宋体"/>
              <w:sz w:val="44"/>
              <w:szCs w:val="44"/>
            </w:rPr>
            <w:t>目录</w:t>
          </w:r>
        </w:p>
        <w:p w14:paraId="46ED6586">
          <w:pPr>
            <w:jc w:val="center"/>
            <w:rPr>
              <w:rFonts w:ascii="宋体" w:hAnsi="宋体" w:eastAsia="宋体"/>
              <w:sz w:val="44"/>
              <w:szCs w:val="44"/>
            </w:rPr>
          </w:pPr>
        </w:p>
        <w:p w14:paraId="49332127">
          <w:pPr>
            <w:pStyle w:val="2"/>
            <w:tabs>
              <w:tab w:val="right" w:leader="dot" w:pos="8306"/>
            </w:tabs>
          </w:pPr>
          <w:r>
            <w:rPr>
              <w:rFonts w:hint="eastAsia" w:ascii="黑体" w:hAnsi="黑体" w:eastAsia="黑体" w:cs="黑体"/>
              <w:kern w:val="0"/>
              <w:sz w:val="36"/>
              <w:szCs w:val="36"/>
            </w:rPr>
            <w:fldChar w:fldCharType="begin"/>
          </w:r>
          <w:r>
            <w:rPr>
              <w:rFonts w:hint="eastAsia" w:ascii="黑体" w:hAnsi="黑体" w:eastAsia="黑体" w:cs="黑体"/>
              <w:sz w:val="36"/>
              <w:szCs w:val="36"/>
            </w:rPr>
            <w:instrText xml:space="preserve">TOC \o "1-2" \h \u </w:instrText>
          </w:r>
          <w:r>
            <w:rPr>
              <w:rFonts w:hint="eastAsia" w:ascii="黑体" w:hAnsi="黑体" w:eastAsia="黑体" w:cs="黑体"/>
              <w:kern w:val="0"/>
              <w:sz w:val="36"/>
              <w:szCs w:val="36"/>
            </w:rPr>
            <w:fldChar w:fldCharType="separate"/>
          </w:r>
          <w:r>
            <w:rPr>
              <w:rFonts w:hint="eastAsia" w:ascii="黑体" w:hAnsi="黑体" w:eastAsia="黑体" w:cs="黑体"/>
              <w:kern w:val="0"/>
              <w:szCs w:val="36"/>
            </w:rPr>
            <w:fldChar w:fldCharType="begin"/>
          </w:r>
          <w:r>
            <w:rPr>
              <w:rFonts w:hint="eastAsia" w:ascii="黑体" w:hAnsi="黑体" w:eastAsia="黑体" w:cs="黑体"/>
              <w:kern w:val="0"/>
              <w:szCs w:val="36"/>
            </w:rPr>
            <w:instrText xml:space="preserve"> HYPERLINK \l _Toc10677 </w:instrText>
          </w:r>
          <w:r>
            <w:rPr>
              <w:rFonts w:hint="eastAsia" w:ascii="黑体" w:hAnsi="黑体" w:eastAsia="黑体" w:cs="黑体"/>
              <w:kern w:val="0"/>
              <w:szCs w:val="36"/>
            </w:rPr>
            <w:fldChar w:fldCharType="separate"/>
          </w:r>
          <w:sdt>
            <w:sdtPr>
              <w:rPr>
                <w:rFonts w:ascii="黑体" w:hAnsi="黑体" w:eastAsia="黑体" w:cs="黑体"/>
                <w:szCs w:val="36"/>
              </w:rPr>
              <w:id w:val="147483178"/>
              <w:placeholder>
                <w:docPart w:val="{a15a78d5-223b-49a4-a3b6-c67d9cbf0b63}"/>
              </w:placeholder>
              <w15:color w:val="509DF3"/>
            </w:sdtPr>
            <w:sdtEndPr>
              <w:rPr>
                <w:rFonts w:ascii="黑体" w:hAnsi="黑体" w:eastAsia="黑体" w:cs="黑体"/>
                <w:szCs w:val="36"/>
              </w:rPr>
            </w:sdtEndPr>
            <w:sdtContent>
              <w:r>
                <w:rPr>
                  <w:rFonts w:hint="eastAsia" w:ascii="黑体" w:hAnsi="黑体" w:eastAsia="黑体" w:cs="黑体"/>
                  <w:szCs w:val="36"/>
                </w:rPr>
                <w:t>1引言</w:t>
              </w:r>
            </w:sdtContent>
          </w:sdt>
          <w:r>
            <w:tab/>
          </w:r>
          <w:r>
            <w:fldChar w:fldCharType="begin"/>
          </w:r>
          <w:r>
            <w:instrText xml:space="preserve"> PAGEREF _Toc10677 \h </w:instrText>
          </w:r>
          <w:r>
            <w:fldChar w:fldCharType="separate"/>
          </w:r>
          <w:r>
            <w:t>3</w:t>
          </w:r>
          <w:r>
            <w:fldChar w:fldCharType="end"/>
          </w:r>
          <w:r>
            <w:rPr>
              <w:rFonts w:hint="eastAsia" w:ascii="黑体" w:hAnsi="黑体" w:eastAsia="黑体" w:cs="黑体"/>
              <w:kern w:val="0"/>
              <w:szCs w:val="36"/>
            </w:rPr>
            <w:fldChar w:fldCharType="end"/>
          </w:r>
        </w:p>
        <w:p w14:paraId="4D760D0F">
          <w:pPr>
            <w:pStyle w:val="3"/>
            <w:tabs>
              <w:tab w:val="right" w:leader="dot" w:pos="8306"/>
            </w:tabs>
          </w:pPr>
          <w:r>
            <w:rPr>
              <w:rFonts w:hint="eastAsia" w:ascii="黑体" w:hAnsi="黑体" w:eastAsia="黑体" w:cs="黑体"/>
              <w:szCs w:val="36"/>
            </w:rPr>
            <w:fldChar w:fldCharType="begin"/>
          </w:r>
          <w:r>
            <w:rPr>
              <w:rFonts w:hint="eastAsia" w:ascii="黑体" w:hAnsi="黑体" w:eastAsia="黑体" w:cs="黑体"/>
              <w:szCs w:val="36"/>
            </w:rPr>
            <w:instrText xml:space="preserve"> HYPERLINK \l _Toc26083 </w:instrText>
          </w:r>
          <w:r>
            <w:rPr>
              <w:rFonts w:hint="eastAsia" w:ascii="黑体" w:hAnsi="黑体" w:eastAsia="黑体" w:cs="黑体"/>
              <w:szCs w:val="36"/>
            </w:rPr>
            <w:fldChar w:fldCharType="separate"/>
          </w:r>
          <w:r>
            <w:rPr>
              <w:rFonts w:hint="eastAsia" w:eastAsia="黑体"/>
            </w:rPr>
            <w:t>1.1 披露依据</w:t>
          </w:r>
          <w:r>
            <w:tab/>
          </w:r>
          <w:r>
            <w:fldChar w:fldCharType="begin"/>
          </w:r>
          <w:r>
            <w:instrText xml:space="preserve"> PAGEREF _Toc26083 \h </w:instrText>
          </w:r>
          <w:r>
            <w:fldChar w:fldCharType="separate"/>
          </w:r>
          <w:r>
            <w:t>3</w:t>
          </w:r>
          <w:r>
            <w:fldChar w:fldCharType="end"/>
          </w:r>
          <w:r>
            <w:rPr>
              <w:rFonts w:hint="eastAsia" w:ascii="黑体" w:hAnsi="黑体" w:eastAsia="黑体" w:cs="黑体"/>
              <w:szCs w:val="36"/>
            </w:rPr>
            <w:fldChar w:fldCharType="end"/>
          </w:r>
        </w:p>
        <w:p w14:paraId="1F0AA6F0">
          <w:pPr>
            <w:pStyle w:val="3"/>
            <w:tabs>
              <w:tab w:val="right" w:leader="dot" w:pos="8306"/>
            </w:tabs>
          </w:pPr>
          <w:r>
            <w:rPr>
              <w:rFonts w:hint="eastAsia" w:ascii="黑体" w:hAnsi="黑体" w:eastAsia="黑体" w:cs="黑体"/>
              <w:szCs w:val="36"/>
            </w:rPr>
            <w:fldChar w:fldCharType="begin"/>
          </w:r>
          <w:r>
            <w:rPr>
              <w:rFonts w:hint="eastAsia" w:ascii="黑体" w:hAnsi="黑体" w:eastAsia="黑体" w:cs="黑体"/>
              <w:szCs w:val="36"/>
            </w:rPr>
            <w:instrText xml:space="preserve"> HYPERLINK \l _Toc8746 </w:instrText>
          </w:r>
          <w:r>
            <w:rPr>
              <w:rFonts w:hint="eastAsia" w:ascii="黑体" w:hAnsi="黑体" w:eastAsia="黑体" w:cs="黑体"/>
              <w:szCs w:val="36"/>
            </w:rPr>
            <w:fldChar w:fldCharType="separate"/>
          </w:r>
          <w:r>
            <w:rPr>
              <w:rFonts w:hint="eastAsia" w:eastAsia="黑体"/>
            </w:rPr>
            <w:t>1.2 披露声明</w:t>
          </w:r>
          <w:r>
            <w:tab/>
          </w:r>
          <w:r>
            <w:fldChar w:fldCharType="begin"/>
          </w:r>
          <w:r>
            <w:instrText xml:space="preserve"> PAGEREF _Toc8746 \h </w:instrText>
          </w:r>
          <w:r>
            <w:fldChar w:fldCharType="separate"/>
          </w:r>
          <w:r>
            <w:t>3</w:t>
          </w:r>
          <w:r>
            <w:fldChar w:fldCharType="end"/>
          </w:r>
          <w:r>
            <w:rPr>
              <w:rFonts w:hint="eastAsia" w:ascii="黑体" w:hAnsi="黑体" w:eastAsia="黑体" w:cs="黑体"/>
              <w:szCs w:val="36"/>
            </w:rPr>
            <w:fldChar w:fldCharType="end"/>
          </w:r>
        </w:p>
        <w:p w14:paraId="442FE21D">
          <w:pPr>
            <w:pStyle w:val="2"/>
            <w:tabs>
              <w:tab w:val="right" w:leader="dot" w:pos="8306"/>
            </w:tabs>
          </w:pPr>
          <w:r>
            <w:rPr>
              <w:rFonts w:hint="eastAsia" w:ascii="黑体" w:hAnsi="黑体" w:eastAsia="黑体" w:cs="黑体"/>
              <w:szCs w:val="36"/>
            </w:rPr>
            <w:fldChar w:fldCharType="begin"/>
          </w:r>
          <w:r>
            <w:rPr>
              <w:rFonts w:hint="eastAsia" w:ascii="黑体" w:hAnsi="黑体" w:eastAsia="黑体" w:cs="黑体"/>
              <w:szCs w:val="36"/>
            </w:rPr>
            <w:instrText xml:space="preserve"> HYPERLINK \l _Toc19924 </w:instrText>
          </w:r>
          <w:r>
            <w:rPr>
              <w:rFonts w:hint="eastAsia" w:ascii="黑体" w:hAnsi="黑体" w:eastAsia="黑体" w:cs="黑体"/>
              <w:szCs w:val="36"/>
            </w:rPr>
            <w:fldChar w:fldCharType="separate"/>
          </w:r>
          <w:sdt>
            <w:sdtPr>
              <w:rPr>
                <w:rFonts w:ascii="黑体" w:hAnsi="黑体" w:eastAsia="黑体" w:cs="黑体"/>
                <w:bCs w:val="0"/>
                <w:szCs w:val="36"/>
              </w:rPr>
              <w:id w:val="147474828"/>
              <w:placeholder>
                <w:docPart w:val="{ed8cadbd-9a1e-4375-9424-46cd7001e81b}"/>
              </w:placeholder>
              <w15:color w:val="509DF3"/>
            </w:sdtPr>
            <w:sdtEndPr>
              <w:rPr>
                <w:rFonts w:ascii="黑体" w:hAnsi="黑体" w:eastAsia="黑体" w:cs="黑体"/>
                <w:bCs w:val="0"/>
                <w:szCs w:val="36"/>
              </w:rPr>
            </w:sdtEndPr>
            <w:sdtContent>
              <w:r>
                <w:rPr>
                  <w:rFonts w:hint="eastAsia" w:ascii="黑体" w:hAnsi="黑体" w:eastAsia="黑体" w:cs="黑体"/>
                  <w:bCs w:val="0"/>
                  <w:szCs w:val="36"/>
                </w:rPr>
                <w:t>2</w:t>
              </w:r>
              <w:r>
                <w:rPr>
                  <w:rFonts w:hint="eastAsia" w:ascii="黑体" w:hAnsi="黑体" w:eastAsia="黑体" w:cs="黑体"/>
                  <w:bCs w:val="0"/>
                  <w:kern w:val="0"/>
                  <w:szCs w:val="36"/>
                  <w:lang w:bidi="ar"/>
                </w:rPr>
                <w:t>关键审慎监管指标概览</w:t>
              </w:r>
            </w:sdtContent>
          </w:sdt>
          <w:r>
            <w:tab/>
          </w:r>
          <w:r>
            <w:fldChar w:fldCharType="begin"/>
          </w:r>
          <w:r>
            <w:instrText xml:space="preserve"> PAGEREF _Toc19924 \h </w:instrText>
          </w:r>
          <w:r>
            <w:fldChar w:fldCharType="separate"/>
          </w:r>
          <w:r>
            <w:t>4</w:t>
          </w:r>
          <w:r>
            <w:fldChar w:fldCharType="end"/>
          </w:r>
          <w:r>
            <w:rPr>
              <w:rFonts w:hint="eastAsia" w:ascii="黑体" w:hAnsi="黑体" w:eastAsia="黑体" w:cs="黑体"/>
              <w:szCs w:val="36"/>
            </w:rPr>
            <w:fldChar w:fldCharType="end"/>
          </w:r>
        </w:p>
        <w:p w14:paraId="78129DAF">
          <w:pPr>
            <w:pStyle w:val="2"/>
            <w:tabs>
              <w:tab w:val="right" w:leader="dot" w:pos="8306"/>
            </w:tabs>
          </w:pPr>
          <w:r>
            <w:rPr>
              <w:rFonts w:hint="eastAsia" w:ascii="黑体" w:hAnsi="黑体" w:eastAsia="黑体" w:cs="黑体"/>
              <w:szCs w:val="36"/>
            </w:rPr>
            <w:fldChar w:fldCharType="begin"/>
          </w:r>
          <w:r>
            <w:rPr>
              <w:rFonts w:hint="eastAsia" w:ascii="黑体" w:hAnsi="黑体" w:eastAsia="黑体" w:cs="黑体"/>
              <w:szCs w:val="36"/>
            </w:rPr>
            <w:instrText xml:space="preserve"> HYPERLINK \l _Toc20613 </w:instrText>
          </w:r>
          <w:r>
            <w:rPr>
              <w:rFonts w:hint="eastAsia" w:ascii="黑体" w:hAnsi="黑体" w:eastAsia="黑体" w:cs="黑体"/>
              <w:szCs w:val="36"/>
            </w:rPr>
            <w:fldChar w:fldCharType="separate"/>
          </w:r>
          <w:sdt>
            <w:sdtPr>
              <w:rPr>
                <w:rFonts w:ascii="黑体" w:hAnsi="黑体" w:eastAsia="黑体" w:cs="黑体"/>
                <w:szCs w:val="36"/>
              </w:rPr>
              <w:id w:val="147467044"/>
              <w:placeholder>
                <w:docPart w:val="{3c89330c-ac2e-4d55-8a67-517a39fe3b8f}"/>
              </w:placeholder>
              <w15:color w:val="509DF3"/>
            </w:sdtPr>
            <w:sdtEndPr>
              <w:rPr>
                <w:rFonts w:ascii="黑体" w:hAnsi="黑体" w:eastAsia="黑体" w:cs="黑体"/>
                <w:szCs w:val="36"/>
              </w:rPr>
            </w:sdtEndPr>
            <w:sdtContent>
              <w:r>
                <w:rPr>
                  <w:rFonts w:ascii="黑体" w:hAnsi="黑体" w:eastAsia="黑体" w:cs="黑体"/>
                  <w:bCs w:val="0"/>
                  <w:szCs w:val="36"/>
                </w:rPr>
                <w:t>3</w:t>
              </w:r>
              <w:r>
                <w:rPr>
                  <w:rFonts w:hint="eastAsia" w:ascii="黑体" w:hAnsi="黑体" w:eastAsia="黑体" w:cs="黑体"/>
                  <w:bCs w:val="0"/>
                  <w:kern w:val="0"/>
                  <w:szCs w:val="36"/>
                  <w:lang w:bidi="ar"/>
                </w:rPr>
                <w:t>资本构成</w:t>
              </w:r>
            </w:sdtContent>
          </w:sdt>
          <w:r>
            <w:tab/>
          </w:r>
          <w:r>
            <w:fldChar w:fldCharType="begin"/>
          </w:r>
          <w:r>
            <w:instrText xml:space="preserve"> PAGEREF _Toc20613 \h </w:instrText>
          </w:r>
          <w:r>
            <w:fldChar w:fldCharType="separate"/>
          </w:r>
          <w:r>
            <w:t>6</w:t>
          </w:r>
          <w:r>
            <w:fldChar w:fldCharType="end"/>
          </w:r>
          <w:r>
            <w:rPr>
              <w:rFonts w:hint="eastAsia" w:ascii="黑体" w:hAnsi="黑体" w:eastAsia="黑体" w:cs="黑体"/>
              <w:szCs w:val="36"/>
            </w:rPr>
            <w:fldChar w:fldCharType="end"/>
          </w:r>
        </w:p>
        <w:p w14:paraId="1E82CD72">
          <w:pPr>
            <w:jc w:val="center"/>
            <w:rPr>
              <w:rFonts w:ascii="黑体" w:hAnsi="黑体" w:eastAsia="黑体" w:cs="黑体"/>
              <w:sz w:val="36"/>
              <w:szCs w:val="36"/>
            </w:rPr>
          </w:pPr>
          <w:r>
            <w:rPr>
              <w:rFonts w:hint="eastAsia" w:ascii="黑体" w:hAnsi="黑体" w:eastAsia="黑体" w:cs="黑体"/>
              <w:szCs w:val="36"/>
            </w:rPr>
            <w:fldChar w:fldCharType="end"/>
          </w:r>
          <w:bookmarkStart w:id="5" w:name="_GoBack"/>
        </w:p>
      </w:sdtContent>
    </w:sdt>
    <w:bookmarkEnd w:id="5"/>
    <w:p w14:paraId="1EC66226">
      <w:pPr>
        <w:jc w:val="center"/>
        <w:rPr>
          <w:rFonts w:ascii="黑体" w:hAnsi="黑体" w:eastAsia="黑体" w:cs="黑体"/>
          <w:sz w:val="36"/>
          <w:szCs w:val="36"/>
        </w:rPr>
      </w:pPr>
    </w:p>
    <w:p w14:paraId="0D0168DC">
      <w:pPr>
        <w:jc w:val="center"/>
        <w:rPr>
          <w:rFonts w:ascii="黑体" w:hAnsi="黑体" w:eastAsia="黑体" w:cs="黑体"/>
          <w:sz w:val="36"/>
          <w:szCs w:val="36"/>
        </w:rPr>
      </w:pPr>
    </w:p>
    <w:p w14:paraId="5C930575">
      <w:pPr>
        <w:jc w:val="center"/>
        <w:rPr>
          <w:rFonts w:ascii="黑体" w:hAnsi="黑体" w:eastAsia="黑体" w:cs="黑体"/>
          <w:sz w:val="36"/>
          <w:szCs w:val="36"/>
        </w:rPr>
      </w:pPr>
    </w:p>
    <w:p w14:paraId="59CD15EE">
      <w:pPr>
        <w:jc w:val="center"/>
        <w:rPr>
          <w:rFonts w:ascii="黑体" w:hAnsi="黑体" w:eastAsia="黑体" w:cs="黑体"/>
          <w:sz w:val="36"/>
          <w:szCs w:val="36"/>
        </w:rPr>
      </w:pPr>
    </w:p>
    <w:p w14:paraId="0C49AA46">
      <w:pPr>
        <w:jc w:val="center"/>
        <w:rPr>
          <w:rFonts w:ascii="黑体" w:hAnsi="黑体" w:eastAsia="黑体" w:cs="黑体"/>
          <w:sz w:val="36"/>
          <w:szCs w:val="36"/>
        </w:rPr>
      </w:pPr>
    </w:p>
    <w:p w14:paraId="35F14C12">
      <w:pPr>
        <w:jc w:val="center"/>
        <w:rPr>
          <w:rFonts w:ascii="黑体" w:hAnsi="黑体" w:eastAsia="黑体" w:cs="黑体"/>
          <w:sz w:val="36"/>
          <w:szCs w:val="36"/>
        </w:rPr>
      </w:pPr>
    </w:p>
    <w:p w14:paraId="2E9E8995">
      <w:pPr>
        <w:jc w:val="center"/>
        <w:rPr>
          <w:rFonts w:ascii="黑体" w:hAnsi="黑体" w:eastAsia="黑体" w:cs="黑体"/>
          <w:sz w:val="36"/>
          <w:szCs w:val="36"/>
        </w:rPr>
      </w:pPr>
    </w:p>
    <w:p w14:paraId="1D9A5698">
      <w:pPr>
        <w:rPr>
          <w:rFonts w:ascii="黑体" w:hAnsi="黑体" w:eastAsia="黑体" w:cs="黑体"/>
          <w:sz w:val="36"/>
          <w:szCs w:val="36"/>
        </w:rPr>
      </w:pPr>
      <w:r>
        <w:rPr>
          <w:rFonts w:hint="eastAsia" w:ascii="黑体" w:hAnsi="黑体" w:eastAsia="黑体" w:cs="黑体"/>
          <w:sz w:val="36"/>
          <w:szCs w:val="36"/>
        </w:rPr>
        <w:br w:type="page"/>
      </w:r>
    </w:p>
    <w:p w14:paraId="09C4E87F">
      <w:pPr>
        <w:jc w:val="center"/>
        <w:rPr>
          <w:rFonts w:ascii="黑体" w:hAnsi="黑体" w:eastAsia="黑体" w:cs="黑体"/>
          <w:sz w:val="36"/>
          <w:szCs w:val="36"/>
        </w:rPr>
      </w:pPr>
    </w:p>
    <w:sdt>
      <w:sdtPr>
        <w:rPr>
          <w:rFonts w:ascii="黑体" w:hAnsi="黑体" w:eastAsia="黑体" w:cs="黑体"/>
          <w:sz w:val="36"/>
          <w:szCs w:val="36"/>
        </w:rPr>
        <w:id w:val="-29964183"/>
        <w:placeholder>
          <w:docPart w:val="{8a0625b0-180b-4e5e-83a0-8736dcd4bb68}"/>
        </w:placeholder>
        <w15:color w:val="509DF3"/>
      </w:sdtPr>
      <w:sdtEndPr>
        <w:rPr>
          <w:rFonts w:ascii="黑体" w:hAnsi="黑体" w:eastAsia="黑体" w:cs="黑体"/>
          <w:sz w:val="36"/>
          <w:szCs w:val="36"/>
        </w:rPr>
      </w:sdtEndPr>
      <w:sdtContent>
        <w:p w14:paraId="30DE460F">
          <w:pPr>
            <w:spacing w:line="360" w:lineRule="auto"/>
            <w:jc w:val="left"/>
            <w:outlineLvl w:val="0"/>
            <w:rPr>
              <w:rFonts w:ascii="黑体" w:hAnsi="黑体" w:eastAsia="黑体" w:cs="黑体"/>
              <w:sz w:val="36"/>
              <w:szCs w:val="36"/>
            </w:rPr>
          </w:pPr>
          <w:bookmarkStart w:id="0" w:name="_Toc10677"/>
          <w:r>
            <w:rPr>
              <w:rFonts w:hint="eastAsia" w:ascii="黑体" w:hAnsi="黑体" w:eastAsia="黑体" w:cs="黑体"/>
              <w:sz w:val="36"/>
              <w:szCs w:val="36"/>
            </w:rPr>
            <w:t>1引言</w:t>
          </w:r>
          <w:bookmarkEnd w:id="0"/>
        </w:p>
      </w:sdtContent>
    </w:sdt>
    <w:p w14:paraId="085B3414">
      <w:pPr>
        <w:spacing w:line="360" w:lineRule="auto"/>
        <w:jc w:val="left"/>
        <w:outlineLvl w:val="1"/>
        <w:rPr>
          <w:rFonts w:ascii="黑体" w:hAnsi="黑体" w:eastAsia="黑体" w:cs="黑体"/>
          <w:sz w:val="28"/>
          <w:szCs w:val="28"/>
        </w:rPr>
      </w:pPr>
      <w:bookmarkStart w:id="1" w:name="_Toc26083"/>
      <w:r>
        <w:rPr>
          <w:rFonts w:hint="eastAsia" w:eastAsia="黑体"/>
          <w:sz w:val="24"/>
        </w:rPr>
        <w:t>1.1 披露依据</w:t>
      </w:r>
      <w:bookmarkEnd w:id="1"/>
    </w:p>
    <w:p w14:paraId="5B47A5AB">
      <w:pPr>
        <w:widowControl/>
        <w:spacing w:line="360" w:lineRule="auto"/>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本报告根据国家金融监督管理总局令第 4 号《商业银行资本管理办法》编制并披露。</w:t>
      </w:r>
    </w:p>
    <w:p w14:paraId="576411ED">
      <w:pPr>
        <w:spacing w:line="360" w:lineRule="auto"/>
        <w:jc w:val="left"/>
        <w:outlineLvl w:val="1"/>
        <w:rPr>
          <w:rFonts w:ascii="黑体" w:hAnsi="黑体" w:eastAsia="黑体" w:cs="黑体"/>
          <w:sz w:val="28"/>
          <w:szCs w:val="28"/>
        </w:rPr>
      </w:pPr>
      <w:bookmarkStart w:id="2" w:name="_Toc8746"/>
      <w:r>
        <w:rPr>
          <w:rFonts w:hint="eastAsia" w:eastAsia="黑体"/>
          <w:sz w:val="24"/>
        </w:rPr>
        <w:t>1.2 披露声明</w:t>
      </w:r>
      <w:bookmarkEnd w:id="2"/>
    </w:p>
    <w:p w14:paraId="52A5D3B3">
      <w:pPr>
        <w:widowControl/>
        <w:spacing w:line="360" w:lineRule="auto"/>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本报告是按照国家金融监督管理总局《商业银行资本管理办法》正文第九章信息披露及附件22商业银行信息披露内容和要求编制，而非财务会计准则。</w:t>
      </w:r>
    </w:p>
    <w:p w14:paraId="53747049">
      <w:pPr>
        <w:spacing w:line="360" w:lineRule="auto"/>
        <w:rPr>
          <w:rFonts w:ascii="宋体" w:hAnsi="宋体" w:eastAsia="宋体" w:cs="宋体"/>
          <w:color w:val="000000"/>
          <w:kern w:val="0"/>
          <w:sz w:val="24"/>
          <w:lang w:bidi="ar"/>
        </w:rPr>
      </w:pPr>
      <w:r>
        <w:rPr>
          <w:rFonts w:hint="eastAsia" w:ascii="宋体" w:hAnsi="宋体" w:eastAsia="宋体" w:cs="宋体"/>
          <w:color w:val="000000"/>
          <w:kern w:val="0"/>
          <w:sz w:val="24"/>
          <w:lang w:bidi="ar"/>
        </w:rPr>
        <w:br w:type="page"/>
      </w:r>
    </w:p>
    <w:sdt>
      <w:sdtPr>
        <w:rPr>
          <w:rFonts w:ascii="黑体" w:hAnsi="黑体" w:eastAsia="黑体" w:cs="黑体"/>
          <w:b w:val="0"/>
          <w:bCs w:val="0"/>
          <w:sz w:val="36"/>
          <w:szCs w:val="36"/>
        </w:rPr>
        <w:id w:val="-760911480"/>
        <w:placeholder>
          <w:docPart w:val="{784ec47e-fc7a-4d75-91aa-84ae90c91146}"/>
        </w:placeholder>
        <w15:color w:val="509DF3"/>
      </w:sdtPr>
      <w:sdtEndPr>
        <w:rPr>
          <w:rFonts w:ascii="黑体" w:hAnsi="黑体" w:eastAsia="黑体" w:cs="黑体"/>
          <w:b w:val="0"/>
          <w:bCs w:val="0"/>
          <w:sz w:val="36"/>
          <w:szCs w:val="36"/>
        </w:rPr>
      </w:sdtEndPr>
      <w:sdtContent>
        <w:p w14:paraId="55154BB3">
          <w:pPr>
            <w:widowControl/>
            <w:spacing w:line="360" w:lineRule="auto"/>
            <w:jc w:val="left"/>
            <w:outlineLvl w:val="0"/>
            <w:rPr>
              <w:rFonts w:ascii="黑体" w:hAnsi="黑体" w:eastAsia="黑体" w:cs="黑体"/>
              <w:sz w:val="36"/>
              <w:szCs w:val="36"/>
            </w:rPr>
          </w:pPr>
          <w:bookmarkStart w:id="3" w:name="_Toc19924"/>
          <w:r>
            <w:rPr>
              <w:rFonts w:hint="eastAsia" w:ascii="黑体" w:hAnsi="黑体" w:eastAsia="黑体" w:cs="黑体"/>
              <w:b w:val="0"/>
              <w:bCs w:val="0"/>
              <w:sz w:val="36"/>
              <w:szCs w:val="36"/>
            </w:rPr>
            <w:t>2</w:t>
          </w:r>
          <w:r>
            <w:rPr>
              <w:rFonts w:hint="eastAsia" w:ascii="黑体" w:hAnsi="黑体" w:eastAsia="黑体" w:cs="黑体"/>
              <w:b w:val="0"/>
              <w:bCs w:val="0"/>
              <w:color w:val="000000"/>
              <w:kern w:val="0"/>
              <w:sz w:val="36"/>
              <w:szCs w:val="36"/>
              <w:lang w:bidi="ar"/>
            </w:rPr>
            <w:t>关键审慎监管指标概览</w:t>
          </w:r>
          <w:bookmarkEnd w:id="3"/>
        </w:p>
      </w:sdtContent>
    </w:sdt>
    <w:p w14:paraId="1B7B362E">
      <w:pPr>
        <w:widowControl/>
        <w:spacing w:line="360" w:lineRule="auto"/>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关键审慎监管指标包括资本充足率、杠杆率以及流动性风险相关的指标。本公司关键审慎监管指标概览如下。</w:t>
      </w:r>
    </w:p>
    <w:p w14:paraId="00984E27">
      <w:pPr>
        <w:widowControl/>
        <w:spacing w:line="360" w:lineRule="auto"/>
        <w:ind w:firstLine="482" w:firstLineChars="200"/>
        <w:jc w:val="left"/>
        <w:rPr>
          <w:rFonts w:eastAsia="宋体"/>
          <w:b/>
          <w:sz w:val="24"/>
        </w:rPr>
      </w:pPr>
      <w:r>
        <w:rPr>
          <w:rFonts w:hint="eastAsia" w:ascii="宋体" w:hAnsi="宋体" w:eastAsia="宋体" w:cs="宋体"/>
          <w:b/>
          <w:color w:val="000000"/>
          <w:kern w:val="0"/>
          <w:sz w:val="24"/>
          <w:lang w:bidi="ar"/>
        </w:rPr>
        <w:t>表格KM1：监管并表关键审慎监管指标</w:t>
      </w:r>
    </w:p>
    <w:p w14:paraId="7CABFA5D">
      <w:pPr>
        <w:widowControl/>
        <w:spacing w:line="360" w:lineRule="auto"/>
        <w:jc w:val="left"/>
      </w:pPr>
      <w:r>
        <w:rPr>
          <w:rFonts w:hint="eastAsia" w:ascii="黑体" w:hAnsi="黑体" w:eastAsia="黑体" w:cs="黑体"/>
          <w:sz w:val="36"/>
          <w:szCs w:val="36"/>
        </w:rPr>
        <w:t xml:space="preserve">                             </w:t>
      </w:r>
      <w:r>
        <w:rPr>
          <w:rFonts w:hint="eastAsia" w:ascii="宋体" w:hAnsi="宋体" w:eastAsia="宋体" w:cs="宋体"/>
          <w:color w:val="000000"/>
          <w:kern w:val="0"/>
          <w:sz w:val="20"/>
          <w:szCs w:val="20"/>
          <w:lang w:bidi="ar"/>
        </w:rPr>
        <w:t>单位：人民币亿元，百分比除外</w:t>
      </w:r>
    </w:p>
    <w:tbl>
      <w:tblPr>
        <w:tblStyle w:val="4"/>
        <w:tblW w:w="7523" w:type="dxa"/>
        <w:tblInd w:w="98" w:type="dxa"/>
        <w:tblLayout w:type="autofit"/>
        <w:tblCellMar>
          <w:top w:w="0" w:type="dxa"/>
          <w:left w:w="108" w:type="dxa"/>
          <w:bottom w:w="0" w:type="dxa"/>
          <w:right w:w="108" w:type="dxa"/>
        </w:tblCellMar>
      </w:tblPr>
      <w:tblGrid>
        <w:gridCol w:w="735"/>
        <w:gridCol w:w="2450"/>
        <w:gridCol w:w="2070"/>
        <w:gridCol w:w="2268"/>
      </w:tblGrid>
      <w:tr w14:paraId="59A9C1C2">
        <w:tblPrEx>
          <w:tblCellMar>
            <w:top w:w="0" w:type="dxa"/>
            <w:left w:w="108" w:type="dxa"/>
            <w:bottom w:w="0" w:type="dxa"/>
            <w:right w:w="108" w:type="dxa"/>
          </w:tblCellMar>
        </w:tblPrEx>
        <w:trPr>
          <w:trHeight w:val="280" w:hRule="atLeast"/>
        </w:trPr>
        <w:tc>
          <w:tcPr>
            <w:tcW w:w="3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14:paraId="175C0DD0">
            <w:pPr>
              <w:jc w:val="center"/>
              <w:rPr>
                <w:rFonts w:ascii="微软雅黑" w:hAnsi="微软雅黑" w:eastAsia="微软雅黑" w:cs="微软雅黑"/>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9E4">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a</w:t>
            </w:r>
          </w:p>
        </w:tc>
        <w:tc>
          <w:tcPr>
            <w:tcW w:w="2268" w:type="dxa"/>
            <w:tcBorders>
              <w:top w:val="single" w:color="000000" w:sz="4" w:space="0"/>
              <w:left w:val="single" w:color="000000" w:sz="4" w:space="0"/>
              <w:bottom w:val="single" w:color="000000" w:sz="4" w:space="0"/>
              <w:right w:val="single" w:color="000000" w:sz="4" w:space="0"/>
            </w:tcBorders>
            <w:vAlign w:val="center"/>
          </w:tcPr>
          <w:p w14:paraId="09DEFDC6">
            <w:pPr>
              <w:widowControl/>
              <w:jc w:val="center"/>
              <w:textAlignment w:val="center"/>
              <w:rPr>
                <w:rFonts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b</w:t>
            </w:r>
          </w:p>
        </w:tc>
      </w:tr>
      <w:tr w14:paraId="27D93659">
        <w:tblPrEx>
          <w:tblCellMar>
            <w:top w:w="0" w:type="dxa"/>
            <w:left w:w="108" w:type="dxa"/>
            <w:bottom w:w="0" w:type="dxa"/>
            <w:right w:w="108" w:type="dxa"/>
          </w:tblCellMar>
        </w:tblPrEx>
        <w:trPr>
          <w:trHeight w:val="280" w:hRule="atLeast"/>
        </w:trPr>
        <w:tc>
          <w:tcPr>
            <w:tcW w:w="3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5071A18D">
            <w:pPr>
              <w:jc w:val="center"/>
              <w:rPr>
                <w:rFonts w:ascii="微软雅黑" w:hAnsi="微软雅黑" w:eastAsia="微软雅黑" w:cs="微软雅黑"/>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B100">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2024年</w:t>
            </w:r>
            <w:r>
              <w:rPr>
                <w:rFonts w:ascii="微软雅黑" w:hAnsi="微软雅黑" w:eastAsia="微软雅黑" w:cs="微软雅黑"/>
                <w:b/>
                <w:bCs/>
                <w:color w:val="000000"/>
                <w:kern w:val="0"/>
                <w:sz w:val="18"/>
                <w:szCs w:val="18"/>
                <w:lang w:bidi="ar"/>
              </w:rPr>
              <w:t>6</w:t>
            </w:r>
            <w:r>
              <w:rPr>
                <w:rFonts w:hint="eastAsia" w:ascii="微软雅黑" w:hAnsi="微软雅黑" w:eastAsia="微软雅黑" w:cs="微软雅黑"/>
                <w:b/>
                <w:bCs/>
                <w:color w:val="000000"/>
                <w:kern w:val="0"/>
                <w:sz w:val="18"/>
                <w:szCs w:val="18"/>
                <w:lang w:bidi="ar"/>
              </w:rPr>
              <w:t>月3</w:t>
            </w:r>
            <w:r>
              <w:rPr>
                <w:rFonts w:ascii="微软雅黑" w:hAnsi="微软雅黑" w:eastAsia="微软雅黑" w:cs="微软雅黑"/>
                <w:b/>
                <w:bCs/>
                <w:color w:val="000000"/>
                <w:kern w:val="0"/>
                <w:sz w:val="18"/>
                <w:szCs w:val="18"/>
                <w:lang w:bidi="ar"/>
              </w:rPr>
              <w:t>0</w:t>
            </w:r>
            <w:r>
              <w:rPr>
                <w:rFonts w:hint="eastAsia" w:ascii="微软雅黑" w:hAnsi="微软雅黑" w:eastAsia="微软雅黑" w:cs="微软雅黑"/>
                <w:b/>
                <w:bCs/>
                <w:color w:val="000000"/>
                <w:kern w:val="0"/>
                <w:sz w:val="18"/>
                <w:szCs w:val="18"/>
                <w:lang w:bidi="ar"/>
              </w:rPr>
              <w:t>日</w:t>
            </w:r>
          </w:p>
        </w:tc>
        <w:tc>
          <w:tcPr>
            <w:tcW w:w="2268" w:type="dxa"/>
            <w:tcBorders>
              <w:top w:val="single" w:color="000000" w:sz="4" w:space="0"/>
              <w:left w:val="single" w:color="000000" w:sz="4" w:space="0"/>
              <w:bottom w:val="single" w:color="000000" w:sz="4" w:space="0"/>
              <w:right w:val="single" w:color="000000" w:sz="4" w:space="0"/>
            </w:tcBorders>
            <w:vAlign w:val="center"/>
          </w:tcPr>
          <w:p w14:paraId="34AC4FE8">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2024年3月31日</w:t>
            </w:r>
          </w:p>
        </w:tc>
      </w:tr>
      <w:tr w14:paraId="1BFA1577">
        <w:tblPrEx>
          <w:tblCellMar>
            <w:top w:w="0" w:type="dxa"/>
            <w:left w:w="108" w:type="dxa"/>
            <w:bottom w:w="0" w:type="dxa"/>
            <w:right w:w="108" w:type="dxa"/>
          </w:tblCellMar>
        </w:tblPrEx>
        <w:trPr>
          <w:trHeight w:val="280" w:hRule="atLeast"/>
        </w:trPr>
        <w:tc>
          <w:tcPr>
            <w:tcW w:w="5255" w:type="dxa"/>
            <w:gridSpan w:val="3"/>
            <w:tcBorders>
              <w:top w:val="nil"/>
              <w:left w:val="single" w:color="000000" w:sz="4" w:space="0"/>
              <w:bottom w:val="single" w:color="000000" w:sz="4" w:space="0"/>
              <w:right w:val="single" w:color="000000" w:sz="4" w:space="0"/>
            </w:tcBorders>
            <w:shd w:val="clear" w:color="auto" w:fill="D9D9D9"/>
          </w:tcPr>
          <w:p w14:paraId="202C64F5">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可用资本（数额）</w:t>
            </w:r>
          </w:p>
        </w:tc>
        <w:tc>
          <w:tcPr>
            <w:tcW w:w="2268" w:type="dxa"/>
            <w:tcBorders>
              <w:top w:val="nil"/>
              <w:left w:val="single" w:color="000000" w:sz="4" w:space="0"/>
              <w:bottom w:val="single" w:color="000000" w:sz="4" w:space="0"/>
              <w:right w:val="single" w:color="000000" w:sz="4" w:space="0"/>
            </w:tcBorders>
            <w:shd w:val="clear" w:color="auto" w:fill="D9D9D9"/>
          </w:tcPr>
          <w:p w14:paraId="56EE7A21">
            <w:pPr>
              <w:widowControl/>
              <w:jc w:val="left"/>
              <w:textAlignment w:val="top"/>
              <w:rPr>
                <w:rFonts w:ascii="微软雅黑" w:hAnsi="微软雅黑" w:eastAsia="微软雅黑" w:cs="微软雅黑"/>
                <w:b/>
                <w:bCs/>
                <w:color w:val="000000"/>
                <w:kern w:val="0"/>
                <w:sz w:val="18"/>
                <w:szCs w:val="18"/>
                <w:lang w:bidi="ar"/>
              </w:rPr>
            </w:pPr>
          </w:p>
        </w:tc>
      </w:tr>
      <w:tr w14:paraId="3B18D58C">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9827">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3AF6">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核心一级资本净额</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0DBFBB9">
            <w:pPr>
              <w:jc w:val="right"/>
            </w:pPr>
            <w:r>
              <w:t xml:space="preserve">58.63 </w:t>
            </w:r>
          </w:p>
        </w:tc>
        <w:tc>
          <w:tcPr>
            <w:tcW w:w="2268" w:type="dxa"/>
            <w:tcBorders>
              <w:top w:val="single" w:color="000000" w:sz="4" w:space="0"/>
              <w:left w:val="single" w:color="000000" w:sz="4" w:space="0"/>
              <w:bottom w:val="single" w:color="000000" w:sz="4" w:space="0"/>
              <w:right w:val="single" w:color="000000" w:sz="4" w:space="0"/>
            </w:tcBorders>
            <w:vAlign w:val="center"/>
          </w:tcPr>
          <w:p w14:paraId="77AD751B">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57.97</w:t>
            </w:r>
          </w:p>
        </w:tc>
      </w:tr>
      <w:tr w14:paraId="3F6750A0">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B35F">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6275">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一级资本净额</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3E21E59">
            <w:pPr>
              <w:jc w:val="right"/>
            </w:pPr>
            <w:r>
              <w:t xml:space="preserve">58.63 </w:t>
            </w:r>
          </w:p>
        </w:tc>
        <w:tc>
          <w:tcPr>
            <w:tcW w:w="2268" w:type="dxa"/>
            <w:tcBorders>
              <w:top w:val="single" w:color="000000" w:sz="4" w:space="0"/>
              <w:left w:val="single" w:color="000000" w:sz="4" w:space="0"/>
              <w:bottom w:val="single" w:color="000000" w:sz="4" w:space="0"/>
              <w:right w:val="single" w:color="000000" w:sz="4" w:space="0"/>
            </w:tcBorders>
            <w:vAlign w:val="center"/>
          </w:tcPr>
          <w:p w14:paraId="487921ED">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57.97</w:t>
            </w:r>
          </w:p>
        </w:tc>
      </w:tr>
      <w:tr w14:paraId="15C1F69C">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EBC">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071B">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资本净额</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21CD2D8B">
            <w:pPr>
              <w:jc w:val="right"/>
            </w:pPr>
            <w:r>
              <w:t xml:space="preserve">63.73 </w:t>
            </w:r>
          </w:p>
        </w:tc>
        <w:tc>
          <w:tcPr>
            <w:tcW w:w="2268" w:type="dxa"/>
            <w:tcBorders>
              <w:top w:val="single" w:color="000000" w:sz="4" w:space="0"/>
              <w:left w:val="single" w:color="000000" w:sz="4" w:space="0"/>
              <w:bottom w:val="single" w:color="000000" w:sz="4" w:space="0"/>
              <w:right w:val="single" w:color="000000" w:sz="4" w:space="0"/>
            </w:tcBorders>
            <w:vAlign w:val="center"/>
          </w:tcPr>
          <w:p w14:paraId="008DDA15">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63.64</w:t>
            </w:r>
          </w:p>
        </w:tc>
      </w:tr>
      <w:tr w14:paraId="14D35381">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9D9D9"/>
          </w:tcPr>
          <w:p w14:paraId="7DD4E3FC">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风险加权资产（数额）</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14:paraId="05978A9B">
            <w:pPr>
              <w:widowControl/>
              <w:jc w:val="left"/>
              <w:textAlignment w:val="top"/>
              <w:rPr>
                <w:rFonts w:ascii="微软雅黑" w:hAnsi="微软雅黑" w:eastAsia="微软雅黑" w:cs="微软雅黑"/>
                <w:b/>
                <w:bCs/>
                <w:color w:val="000000"/>
                <w:kern w:val="0"/>
                <w:sz w:val="18"/>
                <w:szCs w:val="18"/>
                <w:lang w:bidi="ar"/>
              </w:rPr>
            </w:pPr>
          </w:p>
        </w:tc>
      </w:tr>
      <w:tr w14:paraId="50BAA8F1">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559C">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3E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风险加权资产</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13A">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418.42</w:t>
            </w:r>
          </w:p>
        </w:tc>
        <w:tc>
          <w:tcPr>
            <w:tcW w:w="2268" w:type="dxa"/>
            <w:tcBorders>
              <w:top w:val="single" w:color="000000" w:sz="4" w:space="0"/>
              <w:left w:val="single" w:color="000000" w:sz="4" w:space="0"/>
              <w:bottom w:val="single" w:color="000000" w:sz="4" w:space="0"/>
              <w:right w:val="single" w:color="000000" w:sz="4" w:space="0"/>
            </w:tcBorders>
          </w:tcPr>
          <w:p w14:paraId="54200B9F">
            <w:pPr>
              <w:widowControl/>
              <w:jc w:val="righ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464.98</w:t>
            </w:r>
          </w:p>
        </w:tc>
      </w:tr>
      <w:tr w14:paraId="31074766">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9D9D9"/>
          </w:tcPr>
          <w:p w14:paraId="4FB605A3">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资本充足率</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14:paraId="630AD6E1">
            <w:pPr>
              <w:widowControl/>
              <w:jc w:val="left"/>
              <w:textAlignment w:val="top"/>
              <w:rPr>
                <w:rFonts w:ascii="微软雅黑" w:hAnsi="微软雅黑" w:eastAsia="微软雅黑" w:cs="微软雅黑"/>
                <w:b/>
                <w:bCs/>
                <w:color w:val="000000"/>
                <w:kern w:val="0"/>
                <w:sz w:val="18"/>
                <w:szCs w:val="18"/>
                <w:lang w:bidi="ar"/>
              </w:rPr>
            </w:pPr>
          </w:p>
        </w:tc>
      </w:tr>
      <w:tr w14:paraId="2DB607F1">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E34">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92E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核心一级资本充足率（%）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873373B">
            <w:pPr>
              <w:jc w:val="right"/>
            </w:pPr>
            <w:r>
              <w:t xml:space="preserve">14.01 </w:t>
            </w:r>
          </w:p>
        </w:tc>
        <w:tc>
          <w:tcPr>
            <w:tcW w:w="2268" w:type="dxa"/>
            <w:tcBorders>
              <w:top w:val="single" w:color="000000" w:sz="4" w:space="0"/>
              <w:left w:val="single" w:color="000000" w:sz="4" w:space="0"/>
              <w:bottom w:val="single" w:color="000000" w:sz="4" w:space="0"/>
              <w:right w:val="single" w:color="000000" w:sz="4" w:space="0"/>
            </w:tcBorders>
            <w:vAlign w:val="center"/>
          </w:tcPr>
          <w:p w14:paraId="25A45A35">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12.47</w:t>
            </w:r>
          </w:p>
        </w:tc>
      </w:tr>
      <w:tr w14:paraId="4BA8404C">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C73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0458">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一级资本充足率（%）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ACCA518">
            <w:pPr>
              <w:jc w:val="right"/>
            </w:pPr>
            <w:r>
              <w:t xml:space="preserve">14.01 </w:t>
            </w:r>
          </w:p>
        </w:tc>
        <w:tc>
          <w:tcPr>
            <w:tcW w:w="2268" w:type="dxa"/>
            <w:tcBorders>
              <w:top w:val="single" w:color="000000" w:sz="4" w:space="0"/>
              <w:left w:val="single" w:color="000000" w:sz="4" w:space="0"/>
              <w:bottom w:val="single" w:color="000000" w:sz="4" w:space="0"/>
              <w:right w:val="single" w:color="000000" w:sz="4" w:space="0"/>
            </w:tcBorders>
            <w:vAlign w:val="center"/>
          </w:tcPr>
          <w:p w14:paraId="0EC35A87">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12.47</w:t>
            </w:r>
          </w:p>
        </w:tc>
      </w:tr>
      <w:tr w14:paraId="5F2CDD8A">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51A">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34D1">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资本充足率（%）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EC5DDB2">
            <w:pPr>
              <w:jc w:val="right"/>
            </w:pPr>
            <w:r>
              <w:t xml:space="preserve">15.23 </w:t>
            </w:r>
          </w:p>
        </w:tc>
        <w:tc>
          <w:tcPr>
            <w:tcW w:w="2268" w:type="dxa"/>
            <w:tcBorders>
              <w:top w:val="single" w:color="000000" w:sz="4" w:space="0"/>
              <w:left w:val="single" w:color="000000" w:sz="4" w:space="0"/>
              <w:bottom w:val="single" w:color="000000" w:sz="4" w:space="0"/>
              <w:right w:val="single" w:color="000000" w:sz="4" w:space="0"/>
            </w:tcBorders>
            <w:vAlign w:val="center"/>
          </w:tcPr>
          <w:p w14:paraId="27488C74">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13.69</w:t>
            </w:r>
          </w:p>
        </w:tc>
      </w:tr>
      <w:tr w14:paraId="7F1832B9">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9D9D9"/>
          </w:tcPr>
          <w:p w14:paraId="3FF91F59">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其他各级资本要求</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14:paraId="164CA104">
            <w:pPr>
              <w:widowControl/>
              <w:jc w:val="left"/>
              <w:textAlignment w:val="top"/>
              <w:rPr>
                <w:rFonts w:ascii="微软雅黑" w:hAnsi="微软雅黑" w:eastAsia="微软雅黑" w:cs="微软雅黑"/>
                <w:b/>
                <w:bCs/>
                <w:color w:val="000000"/>
                <w:kern w:val="0"/>
                <w:sz w:val="18"/>
                <w:szCs w:val="18"/>
                <w:lang w:bidi="ar"/>
              </w:rPr>
            </w:pPr>
          </w:p>
        </w:tc>
      </w:tr>
      <w:tr w14:paraId="0EE67AC0">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C82B">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D64">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储备资本要求（%）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6F15">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2.50 </w:t>
            </w:r>
          </w:p>
        </w:tc>
        <w:tc>
          <w:tcPr>
            <w:tcW w:w="2268" w:type="dxa"/>
            <w:tcBorders>
              <w:top w:val="single" w:color="000000" w:sz="4" w:space="0"/>
              <w:left w:val="single" w:color="000000" w:sz="4" w:space="0"/>
              <w:bottom w:val="single" w:color="000000" w:sz="4" w:space="0"/>
              <w:right w:val="single" w:color="000000" w:sz="4" w:space="0"/>
            </w:tcBorders>
            <w:vAlign w:val="center"/>
          </w:tcPr>
          <w:p w14:paraId="7FFC31DF">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2.50 </w:t>
            </w:r>
          </w:p>
        </w:tc>
      </w:tr>
      <w:tr w14:paraId="673EE9B9">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EE48">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66C8">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逆周期资本要求（%）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B3F5">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0.00 </w:t>
            </w:r>
          </w:p>
        </w:tc>
        <w:tc>
          <w:tcPr>
            <w:tcW w:w="2268" w:type="dxa"/>
            <w:tcBorders>
              <w:top w:val="single" w:color="000000" w:sz="4" w:space="0"/>
              <w:left w:val="single" w:color="000000" w:sz="4" w:space="0"/>
              <w:bottom w:val="single" w:color="000000" w:sz="4" w:space="0"/>
              <w:right w:val="single" w:color="000000" w:sz="4" w:space="0"/>
            </w:tcBorders>
            <w:vAlign w:val="center"/>
          </w:tcPr>
          <w:p w14:paraId="25B2CA90">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0.00 </w:t>
            </w:r>
          </w:p>
        </w:tc>
      </w:tr>
      <w:tr w14:paraId="41FF7B75">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6A3">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CE00">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全球系统重要性银行或国内系统重要性银行附加资本要求（%）</w:t>
            </w:r>
          </w:p>
        </w:tc>
        <w:tc>
          <w:tcPr>
            <w:tcW w:w="2070" w:type="dxa"/>
            <w:tcBorders>
              <w:top w:val="single" w:color="000000" w:sz="4" w:space="0"/>
              <w:left w:val="single" w:color="000000" w:sz="4" w:space="0"/>
              <w:bottom w:val="single" w:color="000000" w:sz="4" w:space="0"/>
              <w:right w:val="single" w:color="000000" w:sz="4" w:space="0"/>
            </w:tcBorders>
            <w:shd w:val="clear" w:color="auto" w:fill="BEBEBE"/>
            <w:vAlign w:val="center"/>
          </w:tcPr>
          <w:p w14:paraId="729F8536">
            <w:pPr>
              <w:rPr>
                <w:rFonts w:ascii="微软雅黑" w:hAnsi="微软雅黑" w:eastAsia="微软雅黑" w:cs="微软雅黑"/>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BEBEBE"/>
          </w:tcPr>
          <w:p w14:paraId="41A0FCC0">
            <w:pPr>
              <w:rPr>
                <w:rFonts w:ascii="微软雅黑" w:hAnsi="微软雅黑" w:eastAsia="微软雅黑" w:cs="微软雅黑"/>
                <w:color w:val="000000"/>
                <w:sz w:val="18"/>
                <w:szCs w:val="18"/>
              </w:rPr>
            </w:pPr>
          </w:p>
        </w:tc>
      </w:tr>
      <w:tr w14:paraId="01C38C3B">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1BDF">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11</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C3F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其他各级资本要求（%）（8+9+10）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A22D">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2.50 </w:t>
            </w:r>
          </w:p>
        </w:tc>
        <w:tc>
          <w:tcPr>
            <w:tcW w:w="2268" w:type="dxa"/>
            <w:tcBorders>
              <w:top w:val="single" w:color="000000" w:sz="4" w:space="0"/>
              <w:left w:val="single" w:color="000000" w:sz="4" w:space="0"/>
              <w:bottom w:val="single" w:color="000000" w:sz="4" w:space="0"/>
              <w:right w:val="single" w:color="000000" w:sz="4" w:space="0"/>
            </w:tcBorders>
            <w:vAlign w:val="center"/>
          </w:tcPr>
          <w:p w14:paraId="0463C7EF">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2.50 </w:t>
            </w:r>
          </w:p>
        </w:tc>
      </w:tr>
      <w:tr w14:paraId="4ADAA45C">
        <w:tblPrEx>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B9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ECB9">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满足最低资本要求后的可用核心一级资本净额占风险加权资产的比例（%）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DF90">
            <w:pPr>
              <w:widowControl/>
              <w:jc w:val="righ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7.23</w:t>
            </w:r>
          </w:p>
        </w:tc>
        <w:tc>
          <w:tcPr>
            <w:tcW w:w="2268" w:type="dxa"/>
            <w:tcBorders>
              <w:top w:val="single" w:color="000000" w:sz="4" w:space="0"/>
              <w:left w:val="single" w:color="000000" w:sz="4" w:space="0"/>
              <w:bottom w:val="single" w:color="000000" w:sz="4" w:space="0"/>
              <w:right w:val="single" w:color="000000" w:sz="4" w:space="0"/>
            </w:tcBorders>
            <w:vAlign w:val="center"/>
          </w:tcPr>
          <w:p w14:paraId="707818A2">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5.69</w:t>
            </w:r>
          </w:p>
        </w:tc>
      </w:tr>
      <w:tr w14:paraId="76100D40">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9D9D9"/>
          </w:tcPr>
          <w:p w14:paraId="07F0D4E0">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杠杆率</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14:paraId="38B39846">
            <w:pPr>
              <w:widowControl/>
              <w:jc w:val="left"/>
              <w:textAlignment w:val="top"/>
              <w:rPr>
                <w:rFonts w:ascii="微软雅黑" w:hAnsi="微软雅黑" w:eastAsia="微软雅黑" w:cs="微软雅黑"/>
                <w:b/>
                <w:bCs/>
                <w:color w:val="000000"/>
                <w:kern w:val="0"/>
                <w:sz w:val="18"/>
                <w:szCs w:val="18"/>
                <w:lang w:bidi="ar"/>
              </w:rPr>
            </w:pPr>
          </w:p>
        </w:tc>
      </w:tr>
      <w:tr w14:paraId="07410A6D">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BA4C">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F090">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调整后表内外资产余额</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51E77599">
            <w:pPr>
              <w:jc w:val="right"/>
            </w:pPr>
            <w:r>
              <w:t>551.89</w:t>
            </w:r>
          </w:p>
        </w:tc>
        <w:tc>
          <w:tcPr>
            <w:tcW w:w="2268" w:type="dxa"/>
            <w:tcBorders>
              <w:top w:val="single" w:color="000000" w:sz="4" w:space="0"/>
              <w:left w:val="single" w:color="000000" w:sz="4" w:space="0"/>
              <w:bottom w:val="single" w:color="000000" w:sz="4" w:space="0"/>
              <w:right w:val="single" w:color="000000" w:sz="4" w:space="0"/>
            </w:tcBorders>
            <w:vAlign w:val="center"/>
          </w:tcPr>
          <w:p w14:paraId="50DF9460">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530.31</w:t>
            </w:r>
          </w:p>
        </w:tc>
      </w:tr>
      <w:tr w14:paraId="24C8FE32">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1BBF">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2F8C">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杠杆率（%）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5379AB6">
            <w:pPr>
              <w:jc w:val="right"/>
            </w:pPr>
            <w:r>
              <w:t>10.62</w:t>
            </w:r>
          </w:p>
        </w:tc>
        <w:tc>
          <w:tcPr>
            <w:tcW w:w="2268" w:type="dxa"/>
            <w:tcBorders>
              <w:top w:val="single" w:color="000000" w:sz="4" w:space="0"/>
              <w:left w:val="single" w:color="000000" w:sz="4" w:space="0"/>
              <w:bottom w:val="single" w:color="000000" w:sz="4" w:space="0"/>
              <w:right w:val="single" w:color="000000" w:sz="4" w:space="0"/>
            </w:tcBorders>
            <w:vAlign w:val="center"/>
          </w:tcPr>
          <w:p w14:paraId="0B80F7E1">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10.93</w:t>
            </w:r>
          </w:p>
        </w:tc>
      </w:tr>
      <w:tr w14:paraId="4CDE3607">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C79">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14a</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B02">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杠杆率a（%）</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3C19F08A">
            <w:pPr>
              <w:jc w:val="right"/>
            </w:pPr>
            <w:r>
              <w:t>10.62</w:t>
            </w:r>
          </w:p>
        </w:tc>
        <w:tc>
          <w:tcPr>
            <w:tcW w:w="2268" w:type="dxa"/>
            <w:tcBorders>
              <w:top w:val="single" w:color="000000" w:sz="4" w:space="0"/>
              <w:left w:val="single" w:color="000000" w:sz="4" w:space="0"/>
              <w:bottom w:val="single" w:color="000000" w:sz="4" w:space="0"/>
              <w:right w:val="single" w:color="000000" w:sz="4" w:space="0"/>
            </w:tcBorders>
            <w:vAlign w:val="center"/>
          </w:tcPr>
          <w:p w14:paraId="4169CB48">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10.93</w:t>
            </w:r>
          </w:p>
        </w:tc>
      </w:tr>
      <w:tr w14:paraId="7D96502B">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9D9D9"/>
          </w:tcPr>
          <w:p w14:paraId="1E229987">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流动性覆盖率</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14:paraId="333BB421">
            <w:pPr>
              <w:widowControl/>
              <w:jc w:val="left"/>
              <w:textAlignment w:val="top"/>
              <w:rPr>
                <w:rFonts w:ascii="微软雅黑" w:hAnsi="微软雅黑" w:eastAsia="微软雅黑" w:cs="微软雅黑"/>
                <w:b/>
                <w:bCs/>
                <w:color w:val="000000"/>
                <w:kern w:val="0"/>
                <w:sz w:val="18"/>
                <w:szCs w:val="18"/>
                <w:lang w:bidi="ar"/>
              </w:rPr>
            </w:pPr>
          </w:p>
        </w:tc>
      </w:tr>
      <w:tr w14:paraId="46A33BBF">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E0C2">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15</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DC0">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合格优质流动性资产</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146">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c>
          <w:tcPr>
            <w:tcW w:w="2268" w:type="dxa"/>
            <w:tcBorders>
              <w:top w:val="single" w:color="000000" w:sz="4" w:space="0"/>
              <w:left w:val="single" w:color="000000" w:sz="4" w:space="0"/>
              <w:bottom w:val="single" w:color="000000" w:sz="4" w:space="0"/>
              <w:right w:val="single" w:color="000000" w:sz="4" w:space="0"/>
            </w:tcBorders>
          </w:tcPr>
          <w:p w14:paraId="34165E6E">
            <w:pPr>
              <w:widowControl/>
              <w:jc w:val="righ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不适用</w:t>
            </w:r>
          </w:p>
        </w:tc>
      </w:tr>
      <w:tr w14:paraId="59BF89CE">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C0A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16</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1CBB">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现金净流出量</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1C04">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c>
          <w:tcPr>
            <w:tcW w:w="2268" w:type="dxa"/>
            <w:tcBorders>
              <w:top w:val="single" w:color="000000" w:sz="4" w:space="0"/>
              <w:left w:val="single" w:color="000000" w:sz="4" w:space="0"/>
              <w:bottom w:val="single" w:color="000000" w:sz="4" w:space="0"/>
              <w:right w:val="single" w:color="000000" w:sz="4" w:space="0"/>
            </w:tcBorders>
            <w:vAlign w:val="center"/>
          </w:tcPr>
          <w:p w14:paraId="417125E5">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14:paraId="739B1A13">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B3E8">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17</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182">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流动性覆盖率（%）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6BC">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c>
          <w:tcPr>
            <w:tcW w:w="2268" w:type="dxa"/>
            <w:tcBorders>
              <w:top w:val="single" w:color="000000" w:sz="4" w:space="0"/>
              <w:left w:val="single" w:color="000000" w:sz="4" w:space="0"/>
              <w:bottom w:val="single" w:color="000000" w:sz="4" w:space="0"/>
              <w:right w:val="single" w:color="000000" w:sz="4" w:space="0"/>
            </w:tcBorders>
            <w:vAlign w:val="center"/>
          </w:tcPr>
          <w:p w14:paraId="4032AD0C">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14:paraId="6BE6FD48">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9D9D9"/>
          </w:tcPr>
          <w:p w14:paraId="3A3E97A4">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净稳定资金比例</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Pr>
          <w:p w14:paraId="48220153">
            <w:pPr>
              <w:widowControl/>
              <w:jc w:val="left"/>
              <w:textAlignment w:val="top"/>
              <w:rPr>
                <w:rFonts w:ascii="微软雅黑" w:hAnsi="微软雅黑" w:eastAsia="微软雅黑" w:cs="微软雅黑"/>
                <w:b/>
                <w:bCs/>
                <w:color w:val="000000"/>
                <w:kern w:val="0"/>
                <w:sz w:val="18"/>
                <w:szCs w:val="18"/>
                <w:lang w:bidi="ar"/>
              </w:rPr>
            </w:pPr>
          </w:p>
        </w:tc>
      </w:tr>
      <w:tr w14:paraId="28032523">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4296">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DB30">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可用稳定资金合计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4B1">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c>
          <w:tcPr>
            <w:tcW w:w="2268" w:type="dxa"/>
            <w:tcBorders>
              <w:top w:val="single" w:color="000000" w:sz="4" w:space="0"/>
              <w:left w:val="single" w:color="000000" w:sz="4" w:space="0"/>
              <w:bottom w:val="single" w:color="000000" w:sz="4" w:space="0"/>
              <w:right w:val="single" w:color="000000" w:sz="4" w:space="0"/>
            </w:tcBorders>
            <w:vAlign w:val="center"/>
          </w:tcPr>
          <w:p w14:paraId="6453312D">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14:paraId="24FE3D06">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AFD">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19</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12BE">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所需稳定资金合计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14D9">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c>
          <w:tcPr>
            <w:tcW w:w="2268" w:type="dxa"/>
            <w:tcBorders>
              <w:top w:val="single" w:color="000000" w:sz="4" w:space="0"/>
              <w:left w:val="single" w:color="000000" w:sz="4" w:space="0"/>
              <w:bottom w:val="single" w:color="000000" w:sz="4" w:space="0"/>
              <w:right w:val="single" w:color="000000" w:sz="4" w:space="0"/>
            </w:tcBorders>
            <w:vAlign w:val="center"/>
          </w:tcPr>
          <w:p w14:paraId="5750CE52">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14:paraId="37106C76">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461A">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AD6">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净稳定资金比例（%）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28F1">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c>
          <w:tcPr>
            <w:tcW w:w="2268" w:type="dxa"/>
            <w:tcBorders>
              <w:top w:val="single" w:color="000000" w:sz="4" w:space="0"/>
              <w:left w:val="single" w:color="000000" w:sz="4" w:space="0"/>
              <w:bottom w:val="single" w:color="000000" w:sz="4" w:space="0"/>
              <w:right w:val="single" w:color="000000" w:sz="4" w:space="0"/>
            </w:tcBorders>
            <w:vAlign w:val="center"/>
          </w:tcPr>
          <w:p w14:paraId="648C3572">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14:paraId="18EF1651">
        <w:tblPrEx>
          <w:tblCellMar>
            <w:top w:w="0" w:type="dxa"/>
            <w:left w:w="108" w:type="dxa"/>
            <w:bottom w:w="0" w:type="dxa"/>
            <w:right w:w="108" w:type="dxa"/>
          </w:tblCellMar>
        </w:tblPrEx>
        <w:trPr>
          <w:trHeight w:val="420" w:hRule="atLeast"/>
        </w:trPr>
        <w:tc>
          <w:tcPr>
            <w:tcW w:w="5255" w:type="dxa"/>
            <w:gridSpan w:val="3"/>
            <w:tcBorders>
              <w:top w:val="single" w:color="000000" w:sz="4" w:space="0"/>
              <w:left w:val="single" w:color="000000" w:sz="4" w:space="0"/>
              <w:bottom w:val="single" w:color="000000" w:sz="4" w:space="0"/>
              <w:right w:val="single" w:color="000000" w:sz="4" w:space="0"/>
            </w:tcBorders>
            <w:shd w:val="clear" w:color="auto" w:fill="D8D8D8"/>
          </w:tcPr>
          <w:p w14:paraId="41BA52A5">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流动性比例</w:t>
            </w:r>
          </w:p>
        </w:tc>
        <w:tc>
          <w:tcPr>
            <w:tcW w:w="2268" w:type="dxa"/>
            <w:tcBorders>
              <w:top w:val="single" w:color="000000" w:sz="4" w:space="0"/>
              <w:left w:val="single" w:color="000000" w:sz="4" w:space="0"/>
              <w:bottom w:val="single" w:color="000000" w:sz="4" w:space="0"/>
              <w:right w:val="single" w:color="000000" w:sz="4" w:space="0"/>
            </w:tcBorders>
            <w:shd w:val="clear" w:color="auto" w:fill="D8D8D8"/>
          </w:tcPr>
          <w:p w14:paraId="4096D7E1">
            <w:pPr>
              <w:widowControl/>
              <w:jc w:val="left"/>
              <w:textAlignment w:val="top"/>
              <w:rPr>
                <w:rFonts w:ascii="微软雅黑" w:hAnsi="微软雅黑" w:eastAsia="微软雅黑" w:cs="微软雅黑"/>
                <w:b/>
                <w:bCs/>
                <w:color w:val="000000"/>
                <w:kern w:val="0"/>
                <w:sz w:val="18"/>
                <w:szCs w:val="18"/>
                <w:lang w:bidi="ar"/>
              </w:rPr>
            </w:pPr>
          </w:p>
        </w:tc>
      </w:tr>
      <w:tr w14:paraId="48AFB2C0">
        <w:tblPrEx>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05F0">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21</w:t>
            </w: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E83D0">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流动性比例（%）</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71D3F">
            <w:pPr>
              <w:widowControl/>
              <w:jc w:val="righ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74.51</w:t>
            </w: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14:paraId="63A2334C">
            <w:pPr>
              <w:widowControl/>
              <w:jc w:val="righ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56.30</w:t>
            </w:r>
          </w:p>
        </w:tc>
      </w:tr>
    </w:tbl>
    <w:p w14:paraId="22663F31">
      <w:pPr>
        <w:widowControl/>
        <w:spacing w:line="360" w:lineRule="auto"/>
        <w:jc w:val="left"/>
        <w:outlineLvl w:val="0"/>
        <w:rPr>
          <w:rFonts w:ascii="黑体" w:hAnsi="黑体" w:eastAsia="黑体" w:cs="黑体"/>
          <w:sz w:val="36"/>
          <w:szCs w:val="36"/>
        </w:rPr>
      </w:pPr>
    </w:p>
    <w:p w14:paraId="79E1EA94">
      <w:pPr>
        <w:widowControl/>
        <w:spacing w:line="360" w:lineRule="auto"/>
        <w:jc w:val="left"/>
        <w:outlineLvl w:val="0"/>
        <w:rPr>
          <w:rFonts w:ascii="黑体" w:hAnsi="黑体" w:eastAsia="黑体" w:cs="黑体"/>
          <w:sz w:val="36"/>
          <w:szCs w:val="36"/>
        </w:rPr>
      </w:pPr>
    </w:p>
    <w:p w14:paraId="35C374DF">
      <w:pPr>
        <w:widowControl/>
        <w:spacing w:line="360" w:lineRule="auto"/>
        <w:jc w:val="left"/>
        <w:outlineLvl w:val="0"/>
        <w:rPr>
          <w:rFonts w:ascii="黑体" w:hAnsi="黑体" w:eastAsia="黑体" w:cs="黑体"/>
          <w:sz w:val="36"/>
          <w:szCs w:val="36"/>
        </w:rPr>
      </w:pPr>
    </w:p>
    <w:p w14:paraId="49E1B47C">
      <w:pPr>
        <w:widowControl/>
        <w:spacing w:line="360" w:lineRule="auto"/>
        <w:jc w:val="left"/>
        <w:outlineLvl w:val="0"/>
        <w:rPr>
          <w:rFonts w:ascii="黑体" w:hAnsi="黑体" w:eastAsia="黑体" w:cs="黑体"/>
          <w:sz w:val="36"/>
          <w:szCs w:val="36"/>
        </w:rPr>
      </w:pPr>
    </w:p>
    <w:p w14:paraId="48E9B43F">
      <w:pPr>
        <w:widowControl/>
        <w:spacing w:line="360" w:lineRule="auto"/>
        <w:jc w:val="left"/>
        <w:outlineLvl w:val="0"/>
        <w:rPr>
          <w:rFonts w:ascii="黑体" w:hAnsi="黑体" w:eastAsia="黑体" w:cs="黑体"/>
          <w:sz w:val="36"/>
          <w:szCs w:val="36"/>
        </w:rPr>
      </w:pPr>
    </w:p>
    <w:p w14:paraId="4023ECB9">
      <w:pPr>
        <w:widowControl/>
        <w:spacing w:line="360" w:lineRule="auto"/>
        <w:jc w:val="left"/>
        <w:outlineLvl w:val="0"/>
        <w:rPr>
          <w:rFonts w:ascii="黑体" w:hAnsi="黑体" w:eastAsia="黑体" w:cs="黑体"/>
          <w:sz w:val="36"/>
          <w:szCs w:val="36"/>
        </w:rPr>
      </w:pPr>
    </w:p>
    <w:p w14:paraId="43B01857">
      <w:pPr>
        <w:widowControl/>
        <w:spacing w:line="360" w:lineRule="auto"/>
        <w:jc w:val="left"/>
        <w:outlineLvl w:val="0"/>
        <w:rPr>
          <w:rFonts w:ascii="黑体" w:hAnsi="黑体" w:eastAsia="黑体" w:cs="黑体"/>
          <w:sz w:val="36"/>
          <w:szCs w:val="36"/>
        </w:rPr>
      </w:pPr>
    </w:p>
    <w:p w14:paraId="10740A70">
      <w:pPr>
        <w:widowControl/>
        <w:spacing w:line="360" w:lineRule="auto"/>
        <w:jc w:val="left"/>
        <w:outlineLvl w:val="0"/>
        <w:rPr>
          <w:rFonts w:ascii="黑体" w:hAnsi="黑体" w:eastAsia="黑体" w:cs="黑体"/>
          <w:sz w:val="36"/>
          <w:szCs w:val="36"/>
        </w:rPr>
      </w:pPr>
    </w:p>
    <w:p w14:paraId="61916C20">
      <w:pPr>
        <w:widowControl/>
        <w:spacing w:line="360" w:lineRule="auto"/>
        <w:jc w:val="left"/>
        <w:outlineLvl w:val="0"/>
        <w:rPr>
          <w:rFonts w:ascii="黑体" w:hAnsi="黑体" w:eastAsia="黑体" w:cs="黑体"/>
          <w:sz w:val="36"/>
          <w:szCs w:val="36"/>
        </w:rPr>
      </w:pPr>
    </w:p>
    <w:p w14:paraId="3CA3FDF7">
      <w:pPr>
        <w:widowControl/>
        <w:spacing w:line="360" w:lineRule="auto"/>
        <w:jc w:val="left"/>
        <w:outlineLvl w:val="0"/>
        <w:rPr>
          <w:rFonts w:ascii="黑体" w:hAnsi="黑体" w:eastAsia="黑体" w:cs="黑体"/>
          <w:sz w:val="36"/>
          <w:szCs w:val="36"/>
        </w:rPr>
      </w:pPr>
    </w:p>
    <w:p w14:paraId="4E28EDF6">
      <w:pPr>
        <w:widowControl/>
        <w:spacing w:line="360" w:lineRule="auto"/>
        <w:jc w:val="left"/>
        <w:outlineLvl w:val="0"/>
        <w:rPr>
          <w:rFonts w:ascii="黑体" w:hAnsi="黑体" w:eastAsia="黑体" w:cs="黑体"/>
          <w:sz w:val="36"/>
          <w:szCs w:val="36"/>
        </w:rPr>
      </w:pPr>
    </w:p>
    <w:p w14:paraId="6E982AC7">
      <w:pPr>
        <w:widowControl/>
        <w:spacing w:line="360" w:lineRule="auto"/>
        <w:jc w:val="left"/>
        <w:outlineLvl w:val="0"/>
        <w:rPr>
          <w:rFonts w:ascii="黑体" w:hAnsi="黑体" w:eastAsia="黑体" w:cs="黑体"/>
          <w:sz w:val="36"/>
          <w:szCs w:val="36"/>
        </w:rPr>
      </w:pPr>
    </w:p>
    <w:p w14:paraId="10E3F1E3">
      <w:pPr>
        <w:widowControl/>
        <w:spacing w:line="360" w:lineRule="auto"/>
        <w:jc w:val="left"/>
        <w:outlineLvl w:val="0"/>
        <w:rPr>
          <w:rFonts w:ascii="黑体" w:hAnsi="黑体" w:eastAsia="黑体" w:cs="黑体"/>
          <w:sz w:val="36"/>
          <w:szCs w:val="36"/>
        </w:rPr>
      </w:pPr>
    </w:p>
    <w:p w14:paraId="656FDF4D">
      <w:pPr>
        <w:widowControl/>
        <w:spacing w:line="360" w:lineRule="auto"/>
        <w:jc w:val="left"/>
        <w:outlineLvl w:val="0"/>
        <w:rPr>
          <w:rFonts w:ascii="黑体" w:hAnsi="黑体" w:eastAsia="黑体" w:cs="黑体"/>
          <w:sz w:val="36"/>
          <w:szCs w:val="36"/>
        </w:rPr>
      </w:pPr>
    </w:p>
    <w:p w14:paraId="10282ACA">
      <w:pPr>
        <w:widowControl/>
        <w:spacing w:line="360" w:lineRule="auto"/>
        <w:jc w:val="left"/>
        <w:outlineLvl w:val="0"/>
        <w:rPr>
          <w:rFonts w:ascii="黑体" w:hAnsi="黑体" w:eastAsia="黑体" w:cs="黑体"/>
          <w:sz w:val="36"/>
          <w:szCs w:val="36"/>
        </w:rPr>
      </w:pPr>
    </w:p>
    <w:p w14:paraId="02AE5795">
      <w:pPr>
        <w:widowControl/>
        <w:spacing w:line="360" w:lineRule="auto"/>
        <w:jc w:val="left"/>
        <w:outlineLvl w:val="0"/>
        <w:rPr>
          <w:rFonts w:ascii="黑体" w:hAnsi="黑体" w:eastAsia="黑体" w:cs="黑体"/>
          <w:sz w:val="36"/>
          <w:szCs w:val="36"/>
        </w:rPr>
      </w:pPr>
    </w:p>
    <w:p w14:paraId="7C1C5DF4">
      <w:pPr>
        <w:widowControl/>
        <w:spacing w:line="360" w:lineRule="auto"/>
        <w:jc w:val="left"/>
        <w:outlineLvl w:val="0"/>
        <w:rPr>
          <w:rFonts w:ascii="黑体" w:hAnsi="黑体" w:eastAsia="黑体" w:cs="黑体"/>
          <w:sz w:val="36"/>
          <w:szCs w:val="36"/>
        </w:rPr>
      </w:pPr>
      <w:bookmarkStart w:id="4" w:name="_Toc20613"/>
      <w:sdt>
        <w:sdtPr>
          <w:rPr>
            <w:rFonts w:ascii="黑体" w:hAnsi="黑体" w:eastAsia="黑体" w:cs="黑体"/>
            <w:sz w:val="36"/>
            <w:szCs w:val="36"/>
          </w:rPr>
          <w:id w:val="-1645117625"/>
          <w:placeholder>
            <w:docPart w:val="91D61BFFCCDD44A7AD13BAE3915DB52D"/>
          </w:placeholder>
          <w15:color w:val="509DF3"/>
        </w:sdtPr>
        <w:sdtEndPr>
          <w:rPr>
            <w:rFonts w:ascii="黑体" w:hAnsi="黑体" w:eastAsia="黑体" w:cs="黑体"/>
            <w:sz w:val="36"/>
            <w:szCs w:val="36"/>
          </w:rPr>
        </w:sdtEndPr>
        <w:sdtContent>
          <w:r>
            <w:rPr>
              <w:rFonts w:ascii="黑体" w:hAnsi="黑体" w:eastAsia="黑体" w:cs="黑体"/>
              <w:b w:val="0"/>
              <w:bCs w:val="0"/>
              <w:sz w:val="36"/>
              <w:szCs w:val="36"/>
            </w:rPr>
            <w:t>3</w:t>
          </w:r>
          <w:r>
            <w:rPr>
              <w:rFonts w:hint="eastAsia" w:ascii="黑体" w:hAnsi="黑体" w:eastAsia="黑体" w:cs="黑体"/>
              <w:b w:val="0"/>
              <w:bCs w:val="0"/>
              <w:color w:val="000000"/>
              <w:kern w:val="0"/>
              <w:sz w:val="36"/>
              <w:szCs w:val="36"/>
              <w:lang w:bidi="ar"/>
            </w:rPr>
            <w:t>资本构成</w:t>
          </w:r>
        </w:sdtContent>
      </w:sdt>
      <w:bookmarkEnd w:id="4"/>
    </w:p>
    <w:p w14:paraId="327BAAD3">
      <w:pPr>
        <w:widowControl/>
        <w:spacing w:line="360" w:lineRule="auto"/>
        <w:ind w:firstLine="482" w:firstLineChars="200"/>
        <w:jc w:val="left"/>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表格CC1：资本</w:t>
      </w:r>
      <w:r>
        <w:rPr>
          <w:rFonts w:ascii="宋体" w:hAnsi="宋体" w:eastAsia="宋体" w:cs="宋体"/>
          <w:b/>
          <w:color w:val="000000"/>
          <w:kern w:val="0"/>
          <w:sz w:val="24"/>
          <w:lang w:bidi="ar"/>
        </w:rPr>
        <w:t>构成</w:t>
      </w:r>
    </w:p>
    <w:p w14:paraId="7C822982">
      <w:pPr>
        <w:widowControl/>
        <w:spacing w:line="360" w:lineRule="auto"/>
        <w:ind w:firstLine="482" w:firstLineChars="200"/>
        <w:jc w:val="left"/>
        <w:rPr>
          <w:rFonts w:ascii="宋体" w:hAnsi="宋体" w:eastAsia="宋体" w:cs="宋体"/>
          <w:color w:val="000000"/>
          <w:kern w:val="0"/>
          <w:sz w:val="20"/>
          <w:szCs w:val="20"/>
          <w:lang w:bidi="ar"/>
        </w:rPr>
      </w:pPr>
      <w:r>
        <w:rPr>
          <w:rFonts w:hint="eastAsia" w:ascii="宋体" w:hAnsi="宋体" w:eastAsia="宋体" w:cs="宋体"/>
          <w:b/>
          <w:color w:val="000000"/>
          <w:kern w:val="0"/>
          <w:sz w:val="24"/>
          <w:lang w:bidi="ar"/>
        </w:rPr>
        <w:t xml:space="preserve">                                     </w:t>
      </w:r>
      <w:r>
        <w:rPr>
          <w:rFonts w:hint="eastAsia" w:ascii="宋体" w:hAnsi="宋体" w:eastAsia="宋体" w:cs="宋体"/>
          <w:color w:val="000000"/>
          <w:kern w:val="0"/>
          <w:sz w:val="20"/>
          <w:szCs w:val="20"/>
          <w:lang w:bidi="ar"/>
        </w:rPr>
        <w:t>单位：人民币亿元，百分比除外</w:t>
      </w:r>
    </w:p>
    <w:tbl>
      <w:tblPr>
        <w:tblStyle w:val="4"/>
        <w:tblW w:w="7590" w:type="dxa"/>
        <w:tblInd w:w="108" w:type="dxa"/>
        <w:tblLayout w:type="autofit"/>
        <w:tblCellMar>
          <w:top w:w="0" w:type="dxa"/>
          <w:left w:w="108" w:type="dxa"/>
          <w:bottom w:w="0" w:type="dxa"/>
          <w:right w:w="108" w:type="dxa"/>
        </w:tblCellMar>
      </w:tblPr>
      <w:tblGrid>
        <w:gridCol w:w="600"/>
        <w:gridCol w:w="3130"/>
        <w:gridCol w:w="2310"/>
        <w:gridCol w:w="1550"/>
      </w:tblGrid>
      <w:tr w14:paraId="3C6EEAEB">
        <w:tblPrEx>
          <w:tblCellMar>
            <w:top w:w="0" w:type="dxa"/>
            <w:left w:w="108" w:type="dxa"/>
            <w:bottom w:w="0" w:type="dxa"/>
            <w:right w:w="108" w:type="dxa"/>
          </w:tblCellMar>
        </w:tblPrEx>
        <w:trPr>
          <w:trHeight w:val="270" w:hRule="atLeast"/>
        </w:trPr>
        <w:tc>
          <w:tcPr>
            <w:tcW w:w="600" w:type="dxa"/>
            <w:tcBorders>
              <w:top w:val="nil"/>
              <w:left w:val="nil"/>
              <w:bottom w:val="single" w:color="auto" w:sz="4" w:space="0"/>
              <w:right w:val="nil"/>
            </w:tcBorders>
            <w:shd w:val="clear" w:color="auto" w:fill="auto"/>
            <w:noWrap/>
            <w:vAlign w:val="center"/>
          </w:tcPr>
          <w:p w14:paraId="299EE2CC">
            <w:pPr>
              <w:widowControl/>
              <w:jc w:val="left"/>
              <w:rPr>
                <w:rFonts w:ascii="Times New Roman" w:hAnsi="Times New Roman" w:eastAsia="Times New Roman" w:cs="Times New Roman"/>
                <w:kern w:val="0"/>
                <w:sz w:val="20"/>
                <w:szCs w:val="20"/>
              </w:rPr>
            </w:pPr>
          </w:p>
        </w:tc>
        <w:tc>
          <w:tcPr>
            <w:tcW w:w="3130" w:type="dxa"/>
            <w:tcBorders>
              <w:top w:val="nil"/>
              <w:left w:val="nil"/>
              <w:bottom w:val="single" w:color="auto" w:sz="4" w:space="0"/>
              <w:right w:val="nil"/>
            </w:tcBorders>
            <w:shd w:val="clear" w:color="auto" w:fill="auto"/>
            <w:noWrap/>
            <w:vAlign w:val="center"/>
          </w:tcPr>
          <w:p w14:paraId="458B158E">
            <w:pPr>
              <w:widowControl/>
              <w:jc w:val="left"/>
              <w:rPr>
                <w:rFonts w:ascii="Times New Roman" w:hAnsi="Times New Roman" w:eastAsia="Times New Roman" w:cs="Times New Roman"/>
                <w:kern w:val="0"/>
                <w:sz w:val="20"/>
                <w:szCs w:val="20"/>
              </w:rPr>
            </w:pPr>
          </w:p>
        </w:tc>
        <w:tc>
          <w:tcPr>
            <w:tcW w:w="2310" w:type="dxa"/>
            <w:tcBorders>
              <w:top w:val="nil"/>
              <w:left w:val="nil"/>
              <w:bottom w:val="single" w:color="auto" w:sz="4" w:space="0"/>
              <w:right w:val="nil"/>
            </w:tcBorders>
            <w:shd w:val="clear" w:color="auto" w:fill="auto"/>
            <w:noWrap/>
            <w:vAlign w:val="center"/>
          </w:tcPr>
          <w:p w14:paraId="1351C935">
            <w:pPr>
              <w:widowControl/>
              <w:ind w:right="270"/>
              <w:jc w:val="righ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2024-6-30</w:t>
            </w:r>
          </w:p>
        </w:tc>
        <w:tc>
          <w:tcPr>
            <w:tcW w:w="1550" w:type="dxa"/>
            <w:tcBorders>
              <w:top w:val="nil"/>
              <w:left w:val="nil"/>
              <w:bottom w:val="single" w:color="auto" w:sz="4" w:space="0"/>
              <w:right w:val="nil"/>
            </w:tcBorders>
            <w:shd w:val="clear" w:color="auto" w:fill="auto"/>
            <w:noWrap/>
            <w:vAlign w:val="center"/>
          </w:tcPr>
          <w:p w14:paraId="163CA17E">
            <w:pPr>
              <w:widowControl/>
              <w:jc w:val="right"/>
              <w:rPr>
                <w:rFonts w:ascii="微软雅黑" w:hAnsi="微软雅黑" w:eastAsia="微软雅黑" w:cs="Arial"/>
                <w:b/>
                <w:bCs/>
                <w:color w:val="000000"/>
                <w:kern w:val="0"/>
                <w:sz w:val="18"/>
                <w:szCs w:val="18"/>
              </w:rPr>
            </w:pPr>
          </w:p>
        </w:tc>
      </w:tr>
      <w:tr w14:paraId="6CBB0A11">
        <w:tblPrEx>
          <w:tblCellMar>
            <w:top w:w="0" w:type="dxa"/>
            <w:left w:w="108" w:type="dxa"/>
            <w:bottom w:w="0" w:type="dxa"/>
            <w:right w:w="108" w:type="dxa"/>
          </w:tblCellMar>
        </w:tblPrEx>
        <w:trPr>
          <w:trHeight w:val="285" w:hRule="atLeast"/>
        </w:trPr>
        <w:tc>
          <w:tcPr>
            <w:tcW w:w="3730" w:type="dxa"/>
            <w:gridSpan w:val="2"/>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63CF0001">
            <w:pPr>
              <w:widowControl/>
              <w:jc w:val="left"/>
              <w:rPr>
                <w:rFonts w:ascii="Times New Roman" w:hAnsi="Times New Roman" w:eastAsia="Times New Roman" w:cs="Times New Roman"/>
                <w:kern w:val="0"/>
                <w:sz w:val="20"/>
                <w:szCs w:val="20"/>
              </w:rPr>
            </w:pPr>
          </w:p>
        </w:tc>
        <w:tc>
          <w:tcPr>
            <w:tcW w:w="2310" w:type="dxa"/>
            <w:tcBorders>
              <w:top w:val="single" w:color="auto" w:sz="4" w:space="0"/>
              <w:left w:val="nil"/>
              <w:bottom w:val="single" w:color="000000" w:sz="8" w:space="0"/>
              <w:right w:val="single" w:color="000000" w:sz="8" w:space="0"/>
            </w:tcBorders>
            <w:shd w:val="clear" w:color="auto" w:fill="auto"/>
            <w:vAlign w:val="center"/>
          </w:tcPr>
          <w:p w14:paraId="1450C756">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a</w:t>
            </w:r>
          </w:p>
        </w:tc>
        <w:tc>
          <w:tcPr>
            <w:tcW w:w="1550" w:type="dxa"/>
            <w:tcBorders>
              <w:top w:val="single" w:color="auto" w:sz="4" w:space="0"/>
              <w:left w:val="nil"/>
              <w:bottom w:val="single" w:color="000000" w:sz="8" w:space="0"/>
              <w:right w:val="single" w:color="auto" w:sz="4" w:space="0"/>
            </w:tcBorders>
            <w:shd w:val="clear" w:color="auto" w:fill="auto"/>
            <w:vAlign w:val="center"/>
          </w:tcPr>
          <w:p w14:paraId="1AD91E99">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b</w:t>
            </w:r>
          </w:p>
        </w:tc>
      </w:tr>
      <w:tr w14:paraId="4868A497">
        <w:tblPrEx>
          <w:tblCellMar>
            <w:top w:w="0" w:type="dxa"/>
            <w:left w:w="108" w:type="dxa"/>
            <w:bottom w:w="0" w:type="dxa"/>
            <w:right w:w="108" w:type="dxa"/>
          </w:tblCellMar>
        </w:tblPrEx>
        <w:trPr>
          <w:trHeight w:val="285" w:hRule="atLeast"/>
        </w:trPr>
        <w:tc>
          <w:tcPr>
            <w:tcW w:w="3730" w:type="dxa"/>
            <w:gridSpan w:val="2"/>
            <w:vMerge w:val="continue"/>
            <w:tcBorders>
              <w:top w:val="nil"/>
              <w:left w:val="single" w:color="auto" w:sz="4" w:space="0"/>
              <w:bottom w:val="single" w:color="000000" w:sz="8" w:space="0"/>
              <w:right w:val="single" w:color="000000" w:sz="8" w:space="0"/>
            </w:tcBorders>
            <w:vAlign w:val="center"/>
          </w:tcPr>
          <w:p w14:paraId="4B5C5675">
            <w:pPr>
              <w:widowControl/>
              <w:jc w:val="left"/>
              <w:rPr>
                <w:rFonts w:ascii="Times New Roman" w:hAnsi="Times New Roman" w:eastAsia="Times New Roman" w:cs="Times New Roman"/>
                <w:kern w:val="0"/>
                <w:sz w:val="20"/>
                <w:szCs w:val="20"/>
              </w:rPr>
            </w:pPr>
          </w:p>
        </w:tc>
        <w:tc>
          <w:tcPr>
            <w:tcW w:w="2310" w:type="dxa"/>
            <w:tcBorders>
              <w:top w:val="nil"/>
              <w:left w:val="nil"/>
              <w:bottom w:val="single" w:color="000000" w:sz="8" w:space="0"/>
              <w:right w:val="single" w:color="000000" w:sz="8" w:space="0"/>
            </w:tcBorders>
            <w:shd w:val="clear" w:color="auto" w:fill="auto"/>
            <w:vAlign w:val="center"/>
          </w:tcPr>
          <w:p w14:paraId="53E05949">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数额</w:t>
            </w:r>
          </w:p>
        </w:tc>
        <w:tc>
          <w:tcPr>
            <w:tcW w:w="1550" w:type="dxa"/>
            <w:tcBorders>
              <w:top w:val="nil"/>
              <w:left w:val="nil"/>
              <w:bottom w:val="single" w:color="000000" w:sz="8" w:space="0"/>
              <w:right w:val="single" w:color="auto" w:sz="4" w:space="0"/>
            </w:tcBorders>
            <w:shd w:val="clear" w:color="auto" w:fill="auto"/>
            <w:vAlign w:val="center"/>
          </w:tcPr>
          <w:p w14:paraId="73D59F43">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代码</w:t>
            </w:r>
          </w:p>
        </w:tc>
      </w:tr>
      <w:tr w14:paraId="437EB3EF">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1A2BE3E1">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核心一级资本</w:t>
            </w:r>
          </w:p>
        </w:tc>
        <w:tc>
          <w:tcPr>
            <w:tcW w:w="1550" w:type="dxa"/>
            <w:tcBorders>
              <w:top w:val="nil"/>
              <w:left w:val="nil"/>
              <w:bottom w:val="nil"/>
              <w:right w:val="single" w:color="auto" w:sz="4" w:space="0"/>
            </w:tcBorders>
            <w:shd w:val="clear" w:color="auto" w:fill="auto"/>
            <w:noWrap/>
            <w:vAlign w:val="center"/>
          </w:tcPr>
          <w:p w14:paraId="4161AA45">
            <w:pPr>
              <w:widowControl/>
              <w:jc w:val="center"/>
              <w:rPr>
                <w:rFonts w:ascii="微软雅黑" w:hAnsi="微软雅黑" w:eastAsia="微软雅黑" w:cs="Arial"/>
                <w:b/>
                <w:bCs/>
                <w:color w:val="000000"/>
                <w:kern w:val="0"/>
                <w:sz w:val="18"/>
                <w:szCs w:val="18"/>
              </w:rPr>
            </w:pPr>
          </w:p>
        </w:tc>
      </w:tr>
      <w:tr w14:paraId="4D621C47">
        <w:tblPrEx>
          <w:tblCellMar>
            <w:top w:w="0" w:type="dxa"/>
            <w:left w:w="108" w:type="dxa"/>
            <w:bottom w:w="0" w:type="dxa"/>
            <w:right w:w="108" w:type="dxa"/>
          </w:tblCellMar>
        </w:tblPrEx>
        <w:trPr>
          <w:trHeight w:val="79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B4A822F">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w:t>
            </w:r>
          </w:p>
        </w:tc>
        <w:tc>
          <w:tcPr>
            <w:tcW w:w="3130" w:type="dxa"/>
            <w:tcBorders>
              <w:top w:val="nil"/>
              <w:left w:val="nil"/>
              <w:bottom w:val="single" w:color="000000" w:sz="8" w:space="0"/>
              <w:right w:val="single" w:color="000000" w:sz="8" w:space="0"/>
            </w:tcBorders>
            <w:shd w:val="clear" w:color="auto" w:fill="auto"/>
            <w:vAlign w:val="center"/>
          </w:tcPr>
          <w:p w14:paraId="02B7B7B9">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实收资本和资本公积可计入部分</w:t>
            </w:r>
          </w:p>
        </w:tc>
        <w:tc>
          <w:tcPr>
            <w:tcW w:w="2310" w:type="dxa"/>
            <w:tcBorders>
              <w:top w:val="nil"/>
              <w:left w:val="nil"/>
              <w:bottom w:val="single" w:color="000000" w:sz="8" w:space="0"/>
              <w:right w:val="nil"/>
            </w:tcBorders>
            <w:shd w:val="clear" w:color="auto" w:fill="auto"/>
            <w:vAlign w:val="center"/>
          </w:tcPr>
          <w:p w14:paraId="64C3CBC0">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53.00 </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3281165A">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e+g</w:t>
            </w:r>
          </w:p>
        </w:tc>
      </w:tr>
      <w:tr w14:paraId="61C771BD">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3C90395">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w:t>
            </w:r>
          </w:p>
        </w:tc>
        <w:tc>
          <w:tcPr>
            <w:tcW w:w="3130" w:type="dxa"/>
            <w:tcBorders>
              <w:top w:val="nil"/>
              <w:left w:val="nil"/>
              <w:bottom w:val="single" w:color="000000" w:sz="8" w:space="0"/>
              <w:right w:val="single" w:color="000000" w:sz="8" w:space="0"/>
            </w:tcBorders>
            <w:shd w:val="clear" w:color="auto" w:fill="auto"/>
            <w:vAlign w:val="center"/>
          </w:tcPr>
          <w:p w14:paraId="47EEC6E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留存收益</w:t>
            </w:r>
          </w:p>
        </w:tc>
        <w:tc>
          <w:tcPr>
            <w:tcW w:w="2310" w:type="dxa"/>
            <w:tcBorders>
              <w:top w:val="nil"/>
              <w:left w:val="nil"/>
              <w:bottom w:val="single" w:color="000000" w:sz="8" w:space="0"/>
              <w:right w:val="nil"/>
            </w:tcBorders>
            <w:shd w:val="clear" w:color="auto" w:fill="auto"/>
            <w:vAlign w:val="center"/>
          </w:tcPr>
          <w:p w14:paraId="338C633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2FD2044A">
            <w:pPr>
              <w:widowControl/>
              <w:jc w:val="right"/>
              <w:rPr>
                <w:rFonts w:ascii="微软雅黑" w:hAnsi="微软雅黑" w:eastAsia="微软雅黑" w:cs="Arial"/>
                <w:color w:val="000000"/>
                <w:kern w:val="0"/>
                <w:sz w:val="18"/>
                <w:szCs w:val="18"/>
              </w:rPr>
            </w:pPr>
          </w:p>
        </w:tc>
      </w:tr>
      <w:tr w14:paraId="75D68C50">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0648BBC">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2a</w:t>
            </w:r>
          </w:p>
        </w:tc>
        <w:tc>
          <w:tcPr>
            <w:tcW w:w="3130" w:type="dxa"/>
            <w:tcBorders>
              <w:top w:val="nil"/>
              <w:left w:val="nil"/>
              <w:bottom w:val="single" w:color="000000" w:sz="8" w:space="0"/>
              <w:right w:val="single" w:color="000000" w:sz="8" w:space="0"/>
            </w:tcBorders>
            <w:shd w:val="clear" w:color="auto" w:fill="auto"/>
            <w:vAlign w:val="center"/>
          </w:tcPr>
          <w:p w14:paraId="4D8526B0">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盈余公积</w:t>
            </w:r>
          </w:p>
        </w:tc>
        <w:tc>
          <w:tcPr>
            <w:tcW w:w="2310" w:type="dxa"/>
            <w:tcBorders>
              <w:top w:val="nil"/>
              <w:left w:val="nil"/>
              <w:bottom w:val="single" w:color="000000" w:sz="8" w:space="0"/>
              <w:right w:val="nil"/>
            </w:tcBorders>
            <w:shd w:val="clear" w:color="auto" w:fill="auto"/>
            <w:vAlign w:val="center"/>
          </w:tcPr>
          <w:p w14:paraId="1F83048A">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1.42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FB58307">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h</w:t>
            </w:r>
          </w:p>
        </w:tc>
      </w:tr>
      <w:tr w14:paraId="58F79420">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E947CB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2b</w:t>
            </w:r>
          </w:p>
        </w:tc>
        <w:tc>
          <w:tcPr>
            <w:tcW w:w="3130" w:type="dxa"/>
            <w:tcBorders>
              <w:top w:val="nil"/>
              <w:left w:val="nil"/>
              <w:bottom w:val="single" w:color="000000" w:sz="8" w:space="0"/>
              <w:right w:val="single" w:color="000000" w:sz="8" w:space="0"/>
            </w:tcBorders>
            <w:shd w:val="clear" w:color="auto" w:fill="auto"/>
            <w:vAlign w:val="center"/>
          </w:tcPr>
          <w:p w14:paraId="063B713B">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一般风险准备</w:t>
            </w:r>
          </w:p>
        </w:tc>
        <w:tc>
          <w:tcPr>
            <w:tcW w:w="2310" w:type="dxa"/>
            <w:tcBorders>
              <w:top w:val="nil"/>
              <w:left w:val="nil"/>
              <w:bottom w:val="single" w:color="000000" w:sz="8" w:space="0"/>
              <w:right w:val="nil"/>
            </w:tcBorders>
            <w:shd w:val="clear" w:color="auto" w:fill="auto"/>
            <w:vAlign w:val="center"/>
          </w:tcPr>
          <w:p w14:paraId="052342C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0.97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68D4CA6">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i</w:t>
            </w:r>
          </w:p>
        </w:tc>
      </w:tr>
      <w:tr w14:paraId="380C3A17">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623370C">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2c</w:t>
            </w:r>
          </w:p>
        </w:tc>
        <w:tc>
          <w:tcPr>
            <w:tcW w:w="3130" w:type="dxa"/>
            <w:tcBorders>
              <w:top w:val="nil"/>
              <w:left w:val="nil"/>
              <w:bottom w:val="single" w:color="000000" w:sz="8" w:space="0"/>
              <w:right w:val="single" w:color="000000" w:sz="8" w:space="0"/>
            </w:tcBorders>
            <w:shd w:val="clear" w:color="auto" w:fill="auto"/>
            <w:vAlign w:val="center"/>
          </w:tcPr>
          <w:p w14:paraId="4FBE164E">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未分配利润</w:t>
            </w:r>
          </w:p>
        </w:tc>
        <w:tc>
          <w:tcPr>
            <w:tcW w:w="2310" w:type="dxa"/>
            <w:tcBorders>
              <w:top w:val="nil"/>
              <w:left w:val="nil"/>
              <w:bottom w:val="single" w:color="000000" w:sz="8" w:space="0"/>
              <w:right w:val="nil"/>
            </w:tcBorders>
            <w:shd w:val="clear" w:color="auto" w:fill="auto"/>
            <w:vAlign w:val="center"/>
          </w:tcPr>
          <w:p w14:paraId="4FC0A9EF">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3.65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5073C62">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j</w:t>
            </w:r>
          </w:p>
        </w:tc>
      </w:tr>
      <w:tr w14:paraId="51CCE9E9">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0629B9D">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w:t>
            </w:r>
          </w:p>
        </w:tc>
        <w:tc>
          <w:tcPr>
            <w:tcW w:w="3130" w:type="dxa"/>
            <w:tcBorders>
              <w:top w:val="nil"/>
              <w:left w:val="nil"/>
              <w:bottom w:val="single" w:color="000000" w:sz="8" w:space="0"/>
              <w:right w:val="single" w:color="000000" w:sz="8" w:space="0"/>
            </w:tcBorders>
            <w:shd w:val="clear" w:color="auto" w:fill="auto"/>
            <w:vAlign w:val="center"/>
          </w:tcPr>
          <w:p w14:paraId="1FF55FA7">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累计其他综合收益</w:t>
            </w:r>
          </w:p>
        </w:tc>
        <w:tc>
          <w:tcPr>
            <w:tcW w:w="2310" w:type="dxa"/>
            <w:tcBorders>
              <w:top w:val="nil"/>
              <w:left w:val="nil"/>
              <w:bottom w:val="single" w:color="000000" w:sz="8" w:space="0"/>
              <w:right w:val="nil"/>
            </w:tcBorders>
            <w:shd w:val="clear" w:color="auto" w:fill="auto"/>
            <w:vAlign w:val="center"/>
          </w:tcPr>
          <w:p w14:paraId="7B151054">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6FA235D">
            <w:pPr>
              <w:widowControl/>
              <w:jc w:val="right"/>
              <w:rPr>
                <w:rFonts w:ascii="微软雅黑" w:hAnsi="微软雅黑" w:eastAsia="微软雅黑" w:cs="Arial"/>
                <w:color w:val="000000"/>
                <w:kern w:val="0"/>
                <w:sz w:val="18"/>
                <w:szCs w:val="18"/>
              </w:rPr>
            </w:pPr>
          </w:p>
        </w:tc>
      </w:tr>
      <w:tr w14:paraId="7C5CF441">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4EE000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w:t>
            </w:r>
          </w:p>
        </w:tc>
        <w:tc>
          <w:tcPr>
            <w:tcW w:w="3130" w:type="dxa"/>
            <w:tcBorders>
              <w:top w:val="nil"/>
              <w:left w:val="nil"/>
              <w:bottom w:val="single" w:color="000000" w:sz="8" w:space="0"/>
              <w:right w:val="single" w:color="000000" w:sz="8" w:space="0"/>
            </w:tcBorders>
            <w:shd w:val="clear" w:color="auto" w:fill="auto"/>
            <w:vAlign w:val="center"/>
          </w:tcPr>
          <w:p w14:paraId="0958442F">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少数股东资本可计入部分</w:t>
            </w:r>
          </w:p>
        </w:tc>
        <w:tc>
          <w:tcPr>
            <w:tcW w:w="2310" w:type="dxa"/>
            <w:tcBorders>
              <w:top w:val="nil"/>
              <w:left w:val="nil"/>
              <w:bottom w:val="single" w:color="000000" w:sz="8" w:space="0"/>
              <w:right w:val="nil"/>
            </w:tcBorders>
            <w:shd w:val="clear" w:color="auto" w:fill="auto"/>
            <w:vAlign w:val="center"/>
          </w:tcPr>
          <w:p w14:paraId="47C0D134">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BB18CDA">
            <w:pPr>
              <w:widowControl/>
              <w:jc w:val="right"/>
              <w:rPr>
                <w:rFonts w:ascii="微软雅黑" w:hAnsi="微软雅黑" w:eastAsia="微软雅黑" w:cs="Arial"/>
                <w:color w:val="000000"/>
                <w:kern w:val="0"/>
                <w:sz w:val="18"/>
                <w:szCs w:val="18"/>
              </w:rPr>
            </w:pPr>
          </w:p>
        </w:tc>
      </w:tr>
      <w:tr w14:paraId="465C88B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660686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w:t>
            </w:r>
          </w:p>
        </w:tc>
        <w:tc>
          <w:tcPr>
            <w:tcW w:w="3130" w:type="dxa"/>
            <w:tcBorders>
              <w:top w:val="nil"/>
              <w:left w:val="nil"/>
              <w:bottom w:val="single" w:color="000000" w:sz="8" w:space="0"/>
              <w:right w:val="single" w:color="000000" w:sz="8" w:space="0"/>
            </w:tcBorders>
            <w:shd w:val="clear" w:color="auto" w:fill="auto"/>
            <w:vAlign w:val="center"/>
          </w:tcPr>
          <w:p w14:paraId="53DD213C">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扣除前的核心一级资本</w:t>
            </w:r>
          </w:p>
        </w:tc>
        <w:tc>
          <w:tcPr>
            <w:tcW w:w="2310" w:type="dxa"/>
            <w:tcBorders>
              <w:top w:val="nil"/>
              <w:left w:val="nil"/>
              <w:bottom w:val="single" w:color="000000" w:sz="8" w:space="0"/>
              <w:right w:val="nil"/>
            </w:tcBorders>
            <w:shd w:val="clear" w:color="auto" w:fill="auto"/>
            <w:vAlign w:val="center"/>
          </w:tcPr>
          <w:p w14:paraId="21A9F3E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59.03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50153A5">
            <w:pPr>
              <w:widowControl/>
              <w:jc w:val="right"/>
              <w:rPr>
                <w:rFonts w:ascii="微软雅黑" w:hAnsi="微软雅黑" w:eastAsia="微软雅黑" w:cs="Arial"/>
                <w:color w:val="000000"/>
                <w:kern w:val="0"/>
                <w:sz w:val="18"/>
                <w:szCs w:val="18"/>
              </w:rPr>
            </w:pPr>
          </w:p>
        </w:tc>
      </w:tr>
      <w:tr w14:paraId="2515EA31">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55B190E9">
            <w:pPr>
              <w:widowControl/>
              <w:jc w:val="center"/>
              <w:rPr>
                <w:rFonts w:ascii="微软雅黑" w:hAnsi="微软雅黑" w:eastAsia="微软雅黑" w:cs="Arial"/>
                <w:b/>
                <w:bCs/>
                <w:color w:val="000000"/>
                <w:kern w:val="0"/>
                <w:sz w:val="18"/>
                <w:szCs w:val="18"/>
              </w:rPr>
            </w:pPr>
            <w:r>
              <w:rPr>
                <w:rFonts w:ascii="微软雅黑" w:hAnsi="微软雅黑" w:eastAsia="微软雅黑" w:cs="Arial"/>
                <w:b/>
                <w:bCs/>
                <w:color w:val="000000"/>
                <w:kern w:val="0"/>
                <w:sz w:val="18"/>
                <w:szCs w:val="18"/>
              </w:rPr>
              <w:t>核心一级资本：扣除项</w:t>
            </w:r>
            <w:r>
              <w:rPr>
                <w:rFonts w:ascii="微软雅黑" w:hAnsi="微软雅黑" w:eastAsia="微软雅黑" w:cs="Arial"/>
                <w:color w:val="000000"/>
                <w:kern w:val="0"/>
                <w:sz w:val="18"/>
                <w:szCs w:val="18"/>
              </w:rPr>
              <w:t>　</w:t>
            </w:r>
          </w:p>
        </w:tc>
        <w:tc>
          <w:tcPr>
            <w:tcW w:w="1550" w:type="dxa"/>
            <w:tcBorders>
              <w:top w:val="nil"/>
              <w:left w:val="nil"/>
              <w:bottom w:val="nil"/>
              <w:right w:val="single" w:color="auto" w:sz="4" w:space="0"/>
            </w:tcBorders>
            <w:shd w:val="clear" w:color="auto" w:fill="auto"/>
            <w:noWrap/>
            <w:vAlign w:val="center"/>
          </w:tcPr>
          <w:p w14:paraId="7C213E71">
            <w:pPr>
              <w:widowControl/>
              <w:jc w:val="center"/>
              <w:rPr>
                <w:rFonts w:ascii="微软雅黑" w:hAnsi="微软雅黑" w:eastAsia="微软雅黑" w:cs="Arial"/>
                <w:b/>
                <w:bCs/>
                <w:color w:val="000000"/>
                <w:kern w:val="0"/>
                <w:sz w:val="18"/>
                <w:szCs w:val="18"/>
              </w:rPr>
            </w:pPr>
          </w:p>
        </w:tc>
      </w:tr>
      <w:tr w14:paraId="0FDBE802">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EE19D3E">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w:t>
            </w:r>
          </w:p>
        </w:tc>
        <w:tc>
          <w:tcPr>
            <w:tcW w:w="3130" w:type="dxa"/>
            <w:tcBorders>
              <w:top w:val="nil"/>
              <w:left w:val="nil"/>
              <w:bottom w:val="single" w:color="000000" w:sz="8" w:space="0"/>
              <w:right w:val="single" w:color="000000" w:sz="8" w:space="0"/>
            </w:tcBorders>
            <w:shd w:val="clear" w:color="auto" w:fill="auto"/>
            <w:vAlign w:val="center"/>
          </w:tcPr>
          <w:p w14:paraId="6A8C39F7">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审慎估值调整</w:t>
            </w:r>
          </w:p>
        </w:tc>
        <w:tc>
          <w:tcPr>
            <w:tcW w:w="2310" w:type="dxa"/>
            <w:tcBorders>
              <w:top w:val="nil"/>
              <w:left w:val="nil"/>
              <w:bottom w:val="single" w:color="000000" w:sz="8" w:space="0"/>
              <w:right w:val="nil"/>
            </w:tcBorders>
            <w:shd w:val="clear" w:color="auto" w:fill="auto"/>
            <w:vAlign w:val="center"/>
          </w:tcPr>
          <w:p w14:paraId="564C0AD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5EB153F6">
            <w:pPr>
              <w:widowControl/>
              <w:jc w:val="right"/>
              <w:rPr>
                <w:rFonts w:ascii="微软雅黑" w:hAnsi="微软雅黑" w:eastAsia="微软雅黑" w:cs="Arial"/>
                <w:color w:val="000000"/>
                <w:kern w:val="0"/>
                <w:sz w:val="18"/>
                <w:szCs w:val="18"/>
              </w:rPr>
            </w:pPr>
          </w:p>
        </w:tc>
      </w:tr>
      <w:tr w14:paraId="1016F0AD">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1276926">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7</w:t>
            </w:r>
          </w:p>
        </w:tc>
        <w:tc>
          <w:tcPr>
            <w:tcW w:w="3130" w:type="dxa"/>
            <w:tcBorders>
              <w:top w:val="nil"/>
              <w:left w:val="nil"/>
              <w:bottom w:val="single" w:color="000000" w:sz="8" w:space="0"/>
              <w:right w:val="single" w:color="000000" w:sz="8" w:space="0"/>
            </w:tcBorders>
            <w:shd w:val="clear" w:color="auto" w:fill="auto"/>
            <w:vAlign w:val="center"/>
          </w:tcPr>
          <w:p w14:paraId="5A2CC5A0">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商誉（扣除递延税负债）</w:t>
            </w:r>
          </w:p>
        </w:tc>
        <w:tc>
          <w:tcPr>
            <w:tcW w:w="2310" w:type="dxa"/>
            <w:tcBorders>
              <w:top w:val="nil"/>
              <w:left w:val="nil"/>
              <w:bottom w:val="single" w:color="000000" w:sz="8" w:space="0"/>
              <w:right w:val="nil"/>
            </w:tcBorders>
            <w:shd w:val="clear" w:color="auto" w:fill="auto"/>
            <w:vAlign w:val="center"/>
          </w:tcPr>
          <w:p w14:paraId="4B9A4980">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0519E889">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a-c</w:t>
            </w:r>
          </w:p>
        </w:tc>
      </w:tr>
      <w:tr w14:paraId="64AD4EDF">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2799D8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8</w:t>
            </w:r>
          </w:p>
        </w:tc>
        <w:tc>
          <w:tcPr>
            <w:tcW w:w="3130" w:type="dxa"/>
            <w:tcBorders>
              <w:top w:val="nil"/>
              <w:left w:val="nil"/>
              <w:bottom w:val="single" w:color="000000" w:sz="8" w:space="0"/>
              <w:right w:val="single" w:color="000000" w:sz="8" w:space="0"/>
            </w:tcBorders>
            <w:shd w:val="clear" w:color="auto" w:fill="auto"/>
            <w:vAlign w:val="center"/>
          </w:tcPr>
          <w:p w14:paraId="7153E926">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其他无形资产（土地使用权除外）（扣除递延税负债）</w:t>
            </w:r>
          </w:p>
        </w:tc>
        <w:tc>
          <w:tcPr>
            <w:tcW w:w="2310" w:type="dxa"/>
            <w:tcBorders>
              <w:top w:val="nil"/>
              <w:left w:val="nil"/>
              <w:bottom w:val="single" w:color="000000" w:sz="8" w:space="0"/>
              <w:right w:val="nil"/>
            </w:tcBorders>
            <w:shd w:val="clear" w:color="auto" w:fill="auto"/>
            <w:vAlign w:val="center"/>
          </w:tcPr>
          <w:p w14:paraId="2BDC27BF">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0.40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E11CE2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b-d</w:t>
            </w:r>
          </w:p>
        </w:tc>
      </w:tr>
      <w:tr w14:paraId="1BEB8727">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DF2848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9</w:t>
            </w:r>
          </w:p>
        </w:tc>
        <w:tc>
          <w:tcPr>
            <w:tcW w:w="3130" w:type="dxa"/>
            <w:tcBorders>
              <w:top w:val="nil"/>
              <w:left w:val="nil"/>
              <w:bottom w:val="single" w:color="000000" w:sz="8" w:space="0"/>
              <w:right w:val="single" w:color="000000" w:sz="8" w:space="0"/>
            </w:tcBorders>
            <w:shd w:val="clear" w:color="auto" w:fill="auto"/>
            <w:vAlign w:val="center"/>
          </w:tcPr>
          <w:p w14:paraId="70C16A30">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依赖未来盈利的由经营亏损引起的净递延税资产</w:t>
            </w:r>
          </w:p>
        </w:tc>
        <w:tc>
          <w:tcPr>
            <w:tcW w:w="2310" w:type="dxa"/>
            <w:tcBorders>
              <w:top w:val="nil"/>
              <w:left w:val="nil"/>
              <w:bottom w:val="single" w:color="000000" w:sz="8" w:space="0"/>
              <w:right w:val="nil"/>
            </w:tcBorders>
            <w:shd w:val="clear" w:color="auto" w:fill="auto"/>
            <w:vAlign w:val="center"/>
          </w:tcPr>
          <w:p w14:paraId="311039AA">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5A5489B7">
            <w:pPr>
              <w:widowControl/>
              <w:jc w:val="right"/>
              <w:rPr>
                <w:rFonts w:ascii="微软雅黑" w:hAnsi="微软雅黑" w:eastAsia="微软雅黑" w:cs="Arial"/>
                <w:color w:val="000000"/>
                <w:kern w:val="0"/>
                <w:sz w:val="18"/>
                <w:szCs w:val="18"/>
              </w:rPr>
            </w:pPr>
          </w:p>
        </w:tc>
      </w:tr>
      <w:tr w14:paraId="6E3E3229">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191814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10</w:t>
            </w:r>
          </w:p>
        </w:tc>
        <w:tc>
          <w:tcPr>
            <w:tcW w:w="3130" w:type="dxa"/>
            <w:tcBorders>
              <w:top w:val="nil"/>
              <w:left w:val="nil"/>
              <w:bottom w:val="single" w:color="000000" w:sz="8" w:space="0"/>
              <w:right w:val="single" w:color="000000" w:sz="8" w:space="0"/>
            </w:tcBorders>
            <w:shd w:val="clear" w:color="auto" w:fill="auto"/>
            <w:vAlign w:val="center"/>
          </w:tcPr>
          <w:p w14:paraId="6AB95DFE">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对未按公允价值计量的项目进行套期形成的现金流储备</w:t>
            </w:r>
          </w:p>
        </w:tc>
        <w:tc>
          <w:tcPr>
            <w:tcW w:w="2310" w:type="dxa"/>
            <w:tcBorders>
              <w:top w:val="nil"/>
              <w:left w:val="nil"/>
              <w:bottom w:val="single" w:color="000000" w:sz="8" w:space="0"/>
              <w:right w:val="nil"/>
            </w:tcBorders>
            <w:shd w:val="clear" w:color="auto" w:fill="auto"/>
            <w:vAlign w:val="center"/>
          </w:tcPr>
          <w:p w14:paraId="13206F2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B651926">
            <w:pPr>
              <w:widowControl/>
              <w:jc w:val="right"/>
              <w:rPr>
                <w:rFonts w:ascii="微软雅黑" w:hAnsi="微软雅黑" w:eastAsia="微软雅黑" w:cs="Arial"/>
                <w:color w:val="000000"/>
                <w:kern w:val="0"/>
                <w:sz w:val="18"/>
                <w:szCs w:val="18"/>
              </w:rPr>
            </w:pPr>
          </w:p>
        </w:tc>
      </w:tr>
      <w:tr w14:paraId="6AAE2E3A">
        <w:tblPrEx>
          <w:tblCellMar>
            <w:top w:w="0" w:type="dxa"/>
            <w:left w:w="108" w:type="dxa"/>
            <w:bottom w:w="0" w:type="dxa"/>
            <w:right w:w="108" w:type="dxa"/>
          </w:tblCellMar>
        </w:tblPrEx>
        <w:trPr>
          <w:trHeight w:val="79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8B94A7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11</w:t>
            </w:r>
          </w:p>
        </w:tc>
        <w:tc>
          <w:tcPr>
            <w:tcW w:w="3130" w:type="dxa"/>
            <w:tcBorders>
              <w:top w:val="nil"/>
              <w:left w:val="nil"/>
              <w:bottom w:val="single" w:color="000000" w:sz="8" w:space="0"/>
              <w:right w:val="single" w:color="000000" w:sz="8" w:space="0"/>
            </w:tcBorders>
            <w:shd w:val="clear" w:color="auto" w:fill="auto"/>
            <w:vAlign w:val="center"/>
          </w:tcPr>
          <w:p w14:paraId="4E01D2AE">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损失准备缺口</w:t>
            </w:r>
          </w:p>
        </w:tc>
        <w:tc>
          <w:tcPr>
            <w:tcW w:w="2310" w:type="dxa"/>
            <w:tcBorders>
              <w:top w:val="nil"/>
              <w:left w:val="nil"/>
              <w:bottom w:val="single" w:color="000000" w:sz="8" w:space="0"/>
              <w:right w:val="nil"/>
            </w:tcBorders>
            <w:shd w:val="clear" w:color="auto" w:fill="auto"/>
            <w:vAlign w:val="center"/>
          </w:tcPr>
          <w:p w14:paraId="78949E2D">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5543FF59">
            <w:pPr>
              <w:widowControl/>
              <w:jc w:val="right"/>
              <w:rPr>
                <w:rFonts w:ascii="微软雅黑" w:hAnsi="微软雅黑" w:eastAsia="微软雅黑" w:cs="Arial"/>
                <w:color w:val="000000"/>
                <w:kern w:val="0"/>
                <w:sz w:val="18"/>
                <w:szCs w:val="18"/>
              </w:rPr>
            </w:pPr>
          </w:p>
        </w:tc>
      </w:tr>
      <w:tr w14:paraId="20015C67">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0877AFC">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12</w:t>
            </w:r>
          </w:p>
        </w:tc>
        <w:tc>
          <w:tcPr>
            <w:tcW w:w="3130" w:type="dxa"/>
            <w:tcBorders>
              <w:top w:val="nil"/>
              <w:left w:val="nil"/>
              <w:bottom w:val="single" w:color="000000" w:sz="8" w:space="0"/>
              <w:right w:val="single" w:color="000000" w:sz="8" w:space="0"/>
            </w:tcBorders>
            <w:shd w:val="clear" w:color="auto" w:fill="auto"/>
            <w:vAlign w:val="center"/>
          </w:tcPr>
          <w:p w14:paraId="189CF7D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资产证券化销售利得</w:t>
            </w:r>
          </w:p>
        </w:tc>
        <w:tc>
          <w:tcPr>
            <w:tcW w:w="2310" w:type="dxa"/>
            <w:tcBorders>
              <w:top w:val="nil"/>
              <w:left w:val="nil"/>
              <w:bottom w:val="single" w:color="000000" w:sz="8" w:space="0"/>
              <w:right w:val="nil"/>
            </w:tcBorders>
            <w:shd w:val="clear" w:color="auto" w:fill="auto"/>
            <w:vAlign w:val="center"/>
          </w:tcPr>
          <w:p w14:paraId="7C7C2F86">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62CD9D9B">
            <w:pPr>
              <w:widowControl/>
              <w:jc w:val="right"/>
              <w:rPr>
                <w:rFonts w:ascii="微软雅黑" w:hAnsi="微软雅黑" w:eastAsia="微软雅黑" w:cs="Arial"/>
                <w:color w:val="000000"/>
                <w:kern w:val="0"/>
                <w:sz w:val="18"/>
                <w:szCs w:val="18"/>
              </w:rPr>
            </w:pPr>
          </w:p>
        </w:tc>
      </w:tr>
      <w:tr w14:paraId="0AA009E1">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D34BA5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13</w:t>
            </w:r>
          </w:p>
        </w:tc>
        <w:tc>
          <w:tcPr>
            <w:tcW w:w="3130" w:type="dxa"/>
            <w:tcBorders>
              <w:top w:val="nil"/>
              <w:left w:val="nil"/>
              <w:bottom w:val="single" w:color="000000" w:sz="8" w:space="0"/>
              <w:right w:val="single" w:color="000000" w:sz="8" w:space="0"/>
            </w:tcBorders>
            <w:shd w:val="clear" w:color="auto" w:fill="auto"/>
            <w:vAlign w:val="center"/>
          </w:tcPr>
          <w:p w14:paraId="39335C4C">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自身信用风险变化导致其负债公允价值变化带来的未实现损益</w:t>
            </w:r>
          </w:p>
        </w:tc>
        <w:tc>
          <w:tcPr>
            <w:tcW w:w="2310" w:type="dxa"/>
            <w:tcBorders>
              <w:top w:val="nil"/>
              <w:left w:val="nil"/>
              <w:bottom w:val="single" w:color="000000" w:sz="8" w:space="0"/>
              <w:right w:val="nil"/>
            </w:tcBorders>
            <w:shd w:val="clear" w:color="auto" w:fill="auto"/>
            <w:vAlign w:val="center"/>
          </w:tcPr>
          <w:p w14:paraId="28C0943D">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8C52B68">
            <w:pPr>
              <w:widowControl/>
              <w:jc w:val="right"/>
              <w:rPr>
                <w:rFonts w:ascii="微软雅黑" w:hAnsi="微软雅黑" w:eastAsia="微软雅黑" w:cs="Arial"/>
                <w:color w:val="000000"/>
                <w:kern w:val="0"/>
                <w:sz w:val="18"/>
                <w:szCs w:val="18"/>
              </w:rPr>
            </w:pPr>
          </w:p>
        </w:tc>
      </w:tr>
      <w:tr w14:paraId="63CF74B9">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F46488E">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14</w:t>
            </w:r>
          </w:p>
        </w:tc>
        <w:tc>
          <w:tcPr>
            <w:tcW w:w="3130" w:type="dxa"/>
            <w:tcBorders>
              <w:top w:val="nil"/>
              <w:left w:val="nil"/>
              <w:bottom w:val="single" w:color="000000" w:sz="8" w:space="0"/>
              <w:right w:val="single" w:color="000000" w:sz="8" w:space="0"/>
            </w:tcBorders>
            <w:shd w:val="clear" w:color="auto" w:fill="auto"/>
            <w:vAlign w:val="center"/>
          </w:tcPr>
          <w:p w14:paraId="0596B70D">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确定受益类的养老金资产净额（扣除递延税负债）</w:t>
            </w:r>
          </w:p>
        </w:tc>
        <w:tc>
          <w:tcPr>
            <w:tcW w:w="2310" w:type="dxa"/>
            <w:tcBorders>
              <w:top w:val="nil"/>
              <w:left w:val="nil"/>
              <w:bottom w:val="single" w:color="000000" w:sz="8" w:space="0"/>
              <w:right w:val="nil"/>
            </w:tcBorders>
            <w:shd w:val="clear" w:color="auto" w:fill="auto"/>
            <w:vAlign w:val="center"/>
          </w:tcPr>
          <w:p w14:paraId="38975BB7">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E6789B1">
            <w:pPr>
              <w:widowControl/>
              <w:jc w:val="right"/>
              <w:rPr>
                <w:rFonts w:ascii="微软雅黑" w:hAnsi="微软雅黑" w:eastAsia="微软雅黑" w:cs="Arial"/>
                <w:color w:val="000000"/>
                <w:kern w:val="0"/>
                <w:sz w:val="18"/>
                <w:szCs w:val="18"/>
              </w:rPr>
            </w:pPr>
          </w:p>
        </w:tc>
      </w:tr>
      <w:tr w14:paraId="6244BA9B">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2F6BDC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15</w:t>
            </w:r>
          </w:p>
        </w:tc>
        <w:tc>
          <w:tcPr>
            <w:tcW w:w="3130" w:type="dxa"/>
            <w:tcBorders>
              <w:top w:val="nil"/>
              <w:left w:val="nil"/>
              <w:bottom w:val="single" w:color="000000" w:sz="8" w:space="0"/>
              <w:right w:val="single" w:color="000000" w:sz="8" w:space="0"/>
            </w:tcBorders>
            <w:shd w:val="clear" w:color="auto" w:fill="auto"/>
            <w:vAlign w:val="center"/>
          </w:tcPr>
          <w:p w14:paraId="25E15F4E">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直接或间接持有本银行的股票</w:t>
            </w:r>
          </w:p>
        </w:tc>
        <w:tc>
          <w:tcPr>
            <w:tcW w:w="2310" w:type="dxa"/>
            <w:tcBorders>
              <w:top w:val="nil"/>
              <w:left w:val="nil"/>
              <w:bottom w:val="single" w:color="000000" w:sz="8" w:space="0"/>
              <w:right w:val="nil"/>
            </w:tcBorders>
            <w:shd w:val="clear" w:color="auto" w:fill="auto"/>
            <w:vAlign w:val="center"/>
          </w:tcPr>
          <w:p w14:paraId="375C9150">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6D854733">
            <w:pPr>
              <w:widowControl/>
              <w:jc w:val="right"/>
              <w:rPr>
                <w:rFonts w:ascii="微软雅黑" w:hAnsi="微软雅黑" w:eastAsia="微软雅黑" w:cs="Arial"/>
                <w:color w:val="000000"/>
                <w:kern w:val="0"/>
                <w:sz w:val="18"/>
                <w:szCs w:val="18"/>
              </w:rPr>
            </w:pPr>
          </w:p>
        </w:tc>
      </w:tr>
      <w:tr w14:paraId="06790E99">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AEFD16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16</w:t>
            </w:r>
          </w:p>
        </w:tc>
        <w:tc>
          <w:tcPr>
            <w:tcW w:w="3130" w:type="dxa"/>
            <w:tcBorders>
              <w:top w:val="nil"/>
              <w:left w:val="nil"/>
              <w:bottom w:val="single" w:color="000000" w:sz="8" w:space="0"/>
              <w:right w:val="single" w:color="000000" w:sz="8" w:space="0"/>
            </w:tcBorders>
            <w:shd w:val="clear" w:color="auto" w:fill="auto"/>
            <w:vAlign w:val="center"/>
          </w:tcPr>
          <w:p w14:paraId="1EEA077D">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银行间或银行与其他金融机构间通过协议相互持有的核心一级资本</w:t>
            </w:r>
          </w:p>
        </w:tc>
        <w:tc>
          <w:tcPr>
            <w:tcW w:w="2310" w:type="dxa"/>
            <w:tcBorders>
              <w:top w:val="nil"/>
              <w:left w:val="nil"/>
              <w:bottom w:val="single" w:color="000000" w:sz="8" w:space="0"/>
              <w:right w:val="nil"/>
            </w:tcBorders>
            <w:shd w:val="clear" w:color="auto" w:fill="auto"/>
            <w:vAlign w:val="center"/>
          </w:tcPr>
          <w:p w14:paraId="4194B91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5AC6F47">
            <w:pPr>
              <w:widowControl/>
              <w:jc w:val="right"/>
              <w:rPr>
                <w:rFonts w:ascii="微软雅黑" w:hAnsi="微软雅黑" w:eastAsia="微软雅黑" w:cs="Arial"/>
                <w:color w:val="000000"/>
                <w:kern w:val="0"/>
                <w:sz w:val="18"/>
                <w:szCs w:val="18"/>
              </w:rPr>
            </w:pPr>
          </w:p>
        </w:tc>
      </w:tr>
      <w:tr w14:paraId="131B624E">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C37AB9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17</w:t>
            </w:r>
          </w:p>
        </w:tc>
        <w:tc>
          <w:tcPr>
            <w:tcW w:w="3130" w:type="dxa"/>
            <w:tcBorders>
              <w:top w:val="nil"/>
              <w:left w:val="nil"/>
              <w:bottom w:val="single" w:color="000000" w:sz="8" w:space="0"/>
              <w:right w:val="single" w:color="000000" w:sz="8" w:space="0"/>
            </w:tcBorders>
            <w:shd w:val="clear" w:color="auto" w:fill="auto"/>
            <w:vAlign w:val="center"/>
          </w:tcPr>
          <w:p w14:paraId="7C0409E1">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对未并表金融机构小额少数资本投资中的核心一级资本中应扣除金额</w:t>
            </w:r>
          </w:p>
        </w:tc>
        <w:tc>
          <w:tcPr>
            <w:tcW w:w="2310" w:type="dxa"/>
            <w:tcBorders>
              <w:top w:val="nil"/>
              <w:left w:val="nil"/>
              <w:bottom w:val="single" w:color="000000" w:sz="8" w:space="0"/>
              <w:right w:val="nil"/>
            </w:tcBorders>
            <w:shd w:val="clear" w:color="auto" w:fill="auto"/>
            <w:vAlign w:val="center"/>
          </w:tcPr>
          <w:p w14:paraId="770DD28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9F4F7F8">
            <w:pPr>
              <w:widowControl/>
              <w:jc w:val="right"/>
              <w:rPr>
                <w:rFonts w:ascii="微软雅黑" w:hAnsi="微软雅黑" w:eastAsia="微软雅黑" w:cs="Arial"/>
                <w:color w:val="000000"/>
                <w:kern w:val="0"/>
                <w:sz w:val="18"/>
                <w:szCs w:val="18"/>
              </w:rPr>
            </w:pPr>
          </w:p>
        </w:tc>
      </w:tr>
      <w:tr w14:paraId="794D142D">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6439B87A">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18</w:t>
            </w:r>
          </w:p>
        </w:tc>
        <w:tc>
          <w:tcPr>
            <w:tcW w:w="3130" w:type="dxa"/>
            <w:tcBorders>
              <w:top w:val="nil"/>
              <w:left w:val="nil"/>
              <w:bottom w:val="single" w:color="000000" w:sz="8" w:space="0"/>
              <w:right w:val="single" w:color="000000" w:sz="8" w:space="0"/>
            </w:tcBorders>
            <w:shd w:val="clear" w:color="auto" w:fill="auto"/>
            <w:vAlign w:val="center"/>
          </w:tcPr>
          <w:p w14:paraId="006592D0">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对未并表金融机构大额少数资本投资中的核心一级资本中应扣除金额</w:t>
            </w:r>
          </w:p>
        </w:tc>
        <w:tc>
          <w:tcPr>
            <w:tcW w:w="2310" w:type="dxa"/>
            <w:tcBorders>
              <w:top w:val="nil"/>
              <w:left w:val="nil"/>
              <w:bottom w:val="single" w:color="000000" w:sz="8" w:space="0"/>
              <w:right w:val="nil"/>
            </w:tcBorders>
            <w:shd w:val="clear" w:color="auto" w:fill="auto"/>
            <w:vAlign w:val="center"/>
          </w:tcPr>
          <w:p w14:paraId="6D382851">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2440A878">
            <w:pPr>
              <w:widowControl/>
              <w:jc w:val="right"/>
              <w:rPr>
                <w:rFonts w:ascii="微软雅黑" w:hAnsi="微软雅黑" w:eastAsia="微软雅黑" w:cs="Arial"/>
                <w:color w:val="000000"/>
                <w:kern w:val="0"/>
                <w:sz w:val="18"/>
                <w:szCs w:val="18"/>
              </w:rPr>
            </w:pPr>
          </w:p>
        </w:tc>
      </w:tr>
      <w:tr w14:paraId="1C686CBB">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4D1810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19</w:t>
            </w:r>
          </w:p>
        </w:tc>
        <w:tc>
          <w:tcPr>
            <w:tcW w:w="3130" w:type="dxa"/>
            <w:tcBorders>
              <w:top w:val="nil"/>
              <w:left w:val="nil"/>
              <w:bottom w:val="single" w:color="000000" w:sz="8" w:space="0"/>
              <w:right w:val="single" w:color="000000" w:sz="8" w:space="0"/>
            </w:tcBorders>
            <w:shd w:val="clear" w:color="auto" w:fill="auto"/>
            <w:vAlign w:val="center"/>
          </w:tcPr>
          <w:p w14:paraId="7154E04C">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其他依赖于银行未来盈利的净递延税资产中应扣除金额</w:t>
            </w:r>
          </w:p>
        </w:tc>
        <w:tc>
          <w:tcPr>
            <w:tcW w:w="2310" w:type="dxa"/>
            <w:tcBorders>
              <w:top w:val="nil"/>
              <w:left w:val="nil"/>
              <w:bottom w:val="single" w:color="000000" w:sz="8" w:space="0"/>
              <w:right w:val="nil"/>
            </w:tcBorders>
            <w:shd w:val="clear" w:color="auto" w:fill="auto"/>
            <w:vAlign w:val="center"/>
          </w:tcPr>
          <w:p w14:paraId="1905B021">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6E6C063">
            <w:pPr>
              <w:widowControl/>
              <w:jc w:val="right"/>
              <w:rPr>
                <w:rFonts w:ascii="微软雅黑" w:hAnsi="微软雅黑" w:eastAsia="微软雅黑" w:cs="Arial"/>
                <w:color w:val="000000"/>
                <w:kern w:val="0"/>
                <w:sz w:val="18"/>
                <w:szCs w:val="18"/>
              </w:rPr>
            </w:pPr>
          </w:p>
        </w:tc>
      </w:tr>
      <w:tr w14:paraId="7A6207D2">
        <w:tblPrEx>
          <w:tblCellMar>
            <w:top w:w="0" w:type="dxa"/>
            <w:left w:w="108" w:type="dxa"/>
            <w:bottom w:w="0" w:type="dxa"/>
            <w:right w:w="108" w:type="dxa"/>
          </w:tblCellMar>
        </w:tblPrEx>
        <w:trPr>
          <w:trHeight w:val="1040"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25B8230">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20</w:t>
            </w:r>
          </w:p>
        </w:tc>
        <w:tc>
          <w:tcPr>
            <w:tcW w:w="3130" w:type="dxa"/>
            <w:tcBorders>
              <w:top w:val="nil"/>
              <w:left w:val="nil"/>
              <w:bottom w:val="single" w:color="000000" w:sz="8" w:space="0"/>
              <w:right w:val="single" w:color="000000" w:sz="8" w:space="0"/>
            </w:tcBorders>
            <w:shd w:val="clear" w:color="auto" w:fill="auto"/>
            <w:vAlign w:val="center"/>
          </w:tcPr>
          <w:p w14:paraId="091300C3">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对未并表金融机构大额少数资本投资中的核心一级资本和其他依赖于银行未来盈利的净递延税资产的未扣除部分超过核心一级资本15%的应扣除金额</w:t>
            </w:r>
          </w:p>
        </w:tc>
        <w:tc>
          <w:tcPr>
            <w:tcW w:w="2310" w:type="dxa"/>
            <w:tcBorders>
              <w:top w:val="nil"/>
              <w:left w:val="nil"/>
              <w:bottom w:val="single" w:color="000000" w:sz="8" w:space="0"/>
              <w:right w:val="nil"/>
            </w:tcBorders>
            <w:shd w:val="clear" w:color="auto" w:fill="auto"/>
            <w:vAlign w:val="center"/>
          </w:tcPr>
          <w:p w14:paraId="5335022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054AAF16">
            <w:pPr>
              <w:widowControl/>
              <w:jc w:val="right"/>
              <w:rPr>
                <w:rFonts w:ascii="微软雅黑" w:hAnsi="微软雅黑" w:eastAsia="微软雅黑" w:cs="Arial"/>
                <w:color w:val="000000"/>
                <w:kern w:val="0"/>
                <w:sz w:val="18"/>
                <w:szCs w:val="18"/>
              </w:rPr>
            </w:pPr>
          </w:p>
        </w:tc>
      </w:tr>
      <w:tr w14:paraId="402C25EB">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155BE8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21</w:t>
            </w:r>
          </w:p>
        </w:tc>
        <w:tc>
          <w:tcPr>
            <w:tcW w:w="3130" w:type="dxa"/>
            <w:tcBorders>
              <w:top w:val="nil"/>
              <w:left w:val="nil"/>
              <w:bottom w:val="single" w:color="000000" w:sz="8" w:space="0"/>
              <w:right w:val="single" w:color="000000" w:sz="8" w:space="0"/>
            </w:tcBorders>
            <w:shd w:val="clear" w:color="auto" w:fill="auto"/>
            <w:vAlign w:val="center"/>
          </w:tcPr>
          <w:p w14:paraId="26C7BE70">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其中：应在对金融机构大额少数资本投资中扣除的金额</w:t>
            </w:r>
          </w:p>
        </w:tc>
        <w:tc>
          <w:tcPr>
            <w:tcW w:w="2310" w:type="dxa"/>
            <w:tcBorders>
              <w:top w:val="nil"/>
              <w:left w:val="nil"/>
              <w:bottom w:val="single" w:color="000000" w:sz="8" w:space="0"/>
              <w:right w:val="nil"/>
            </w:tcBorders>
            <w:shd w:val="clear" w:color="auto" w:fill="auto"/>
            <w:vAlign w:val="center"/>
          </w:tcPr>
          <w:p w14:paraId="1B974045">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D80A203">
            <w:pPr>
              <w:widowControl/>
              <w:jc w:val="right"/>
              <w:rPr>
                <w:rFonts w:ascii="微软雅黑" w:hAnsi="微软雅黑" w:eastAsia="微软雅黑" w:cs="Arial"/>
                <w:color w:val="000000"/>
                <w:kern w:val="0"/>
                <w:sz w:val="18"/>
                <w:szCs w:val="18"/>
              </w:rPr>
            </w:pPr>
          </w:p>
        </w:tc>
      </w:tr>
      <w:tr w14:paraId="0AF2E971">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56B7559">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22</w:t>
            </w:r>
          </w:p>
        </w:tc>
        <w:tc>
          <w:tcPr>
            <w:tcW w:w="3130" w:type="dxa"/>
            <w:tcBorders>
              <w:top w:val="nil"/>
              <w:left w:val="nil"/>
              <w:bottom w:val="single" w:color="000000" w:sz="8" w:space="0"/>
              <w:right w:val="single" w:color="000000" w:sz="8" w:space="0"/>
            </w:tcBorders>
            <w:shd w:val="clear" w:color="auto" w:fill="auto"/>
            <w:vAlign w:val="center"/>
          </w:tcPr>
          <w:p w14:paraId="5555D043">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其中：应在其他依赖于银行未来盈利的净递延税资产中扣除的金额</w:t>
            </w:r>
          </w:p>
        </w:tc>
        <w:tc>
          <w:tcPr>
            <w:tcW w:w="2310" w:type="dxa"/>
            <w:tcBorders>
              <w:top w:val="nil"/>
              <w:left w:val="nil"/>
              <w:bottom w:val="single" w:color="000000" w:sz="8" w:space="0"/>
              <w:right w:val="nil"/>
            </w:tcBorders>
            <w:shd w:val="clear" w:color="auto" w:fill="auto"/>
            <w:vAlign w:val="center"/>
          </w:tcPr>
          <w:p w14:paraId="44B246E5">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C2AB807">
            <w:pPr>
              <w:widowControl/>
              <w:jc w:val="right"/>
              <w:rPr>
                <w:rFonts w:ascii="微软雅黑" w:hAnsi="微软雅黑" w:eastAsia="微软雅黑" w:cs="Arial"/>
                <w:color w:val="000000"/>
                <w:kern w:val="0"/>
                <w:sz w:val="18"/>
                <w:szCs w:val="18"/>
              </w:rPr>
            </w:pPr>
          </w:p>
        </w:tc>
      </w:tr>
      <w:tr w14:paraId="0BDFF244">
        <w:tblPrEx>
          <w:tblCellMar>
            <w:top w:w="0" w:type="dxa"/>
            <w:left w:w="108" w:type="dxa"/>
            <w:bottom w:w="0" w:type="dxa"/>
            <w:right w:w="108" w:type="dxa"/>
          </w:tblCellMar>
        </w:tblPrEx>
        <w:trPr>
          <w:trHeight w:val="105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017BD0A">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23</w:t>
            </w:r>
          </w:p>
        </w:tc>
        <w:tc>
          <w:tcPr>
            <w:tcW w:w="3130" w:type="dxa"/>
            <w:tcBorders>
              <w:top w:val="nil"/>
              <w:left w:val="nil"/>
              <w:bottom w:val="single" w:color="000000" w:sz="8" w:space="0"/>
              <w:right w:val="single" w:color="000000" w:sz="8" w:space="0"/>
            </w:tcBorders>
            <w:shd w:val="clear" w:color="auto" w:fill="auto"/>
            <w:vAlign w:val="center"/>
          </w:tcPr>
          <w:p w14:paraId="45E97073">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其他应在核心一级资本中扣除的项目合计</w:t>
            </w:r>
          </w:p>
        </w:tc>
        <w:tc>
          <w:tcPr>
            <w:tcW w:w="2310" w:type="dxa"/>
            <w:tcBorders>
              <w:top w:val="nil"/>
              <w:left w:val="nil"/>
              <w:bottom w:val="single" w:color="000000" w:sz="8" w:space="0"/>
              <w:right w:val="nil"/>
            </w:tcBorders>
            <w:shd w:val="clear" w:color="auto" w:fill="auto"/>
            <w:vAlign w:val="center"/>
          </w:tcPr>
          <w:p w14:paraId="17643C8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6C31DB51">
            <w:pPr>
              <w:widowControl/>
              <w:jc w:val="right"/>
              <w:rPr>
                <w:rFonts w:ascii="微软雅黑" w:hAnsi="微软雅黑" w:eastAsia="微软雅黑" w:cs="Arial"/>
                <w:color w:val="000000"/>
                <w:kern w:val="0"/>
                <w:sz w:val="18"/>
                <w:szCs w:val="18"/>
              </w:rPr>
            </w:pPr>
          </w:p>
        </w:tc>
      </w:tr>
      <w:tr w14:paraId="2875E79E">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ED77A9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24</w:t>
            </w:r>
          </w:p>
        </w:tc>
        <w:tc>
          <w:tcPr>
            <w:tcW w:w="3130" w:type="dxa"/>
            <w:tcBorders>
              <w:top w:val="nil"/>
              <w:left w:val="nil"/>
              <w:bottom w:val="single" w:color="000000" w:sz="8" w:space="0"/>
              <w:right w:val="single" w:color="000000" w:sz="8" w:space="0"/>
            </w:tcBorders>
            <w:shd w:val="clear" w:color="auto" w:fill="auto"/>
            <w:vAlign w:val="center"/>
          </w:tcPr>
          <w:p w14:paraId="13E4CBBA">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应从其他一级资本和二级资本中扣除的未扣缺口</w:t>
            </w:r>
          </w:p>
        </w:tc>
        <w:tc>
          <w:tcPr>
            <w:tcW w:w="2310" w:type="dxa"/>
            <w:tcBorders>
              <w:top w:val="nil"/>
              <w:left w:val="nil"/>
              <w:bottom w:val="single" w:color="000000" w:sz="8" w:space="0"/>
              <w:right w:val="nil"/>
            </w:tcBorders>
            <w:shd w:val="clear" w:color="auto" w:fill="auto"/>
            <w:vAlign w:val="center"/>
          </w:tcPr>
          <w:p w14:paraId="51F3606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0DD90A2">
            <w:pPr>
              <w:widowControl/>
              <w:jc w:val="right"/>
              <w:rPr>
                <w:rFonts w:ascii="微软雅黑" w:hAnsi="微软雅黑" w:eastAsia="微软雅黑" w:cs="Arial"/>
                <w:color w:val="000000"/>
                <w:kern w:val="0"/>
                <w:sz w:val="18"/>
                <w:szCs w:val="18"/>
              </w:rPr>
            </w:pPr>
          </w:p>
        </w:tc>
      </w:tr>
      <w:tr w14:paraId="76CB85D3">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EEE6CBC">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25</w:t>
            </w:r>
          </w:p>
        </w:tc>
        <w:tc>
          <w:tcPr>
            <w:tcW w:w="3130" w:type="dxa"/>
            <w:tcBorders>
              <w:top w:val="nil"/>
              <w:left w:val="nil"/>
              <w:bottom w:val="single" w:color="000000" w:sz="8" w:space="0"/>
              <w:right w:val="single" w:color="000000" w:sz="8" w:space="0"/>
            </w:tcBorders>
            <w:shd w:val="clear" w:color="auto" w:fill="auto"/>
            <w:vAlign w:val="center"/>
          </w:tcPr>
          <w:p w14:paraId="704CE3E0">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核心一级资本扣除项总和</w:t>
            </w:r>
          </w:p>
        </w:tc>
        <w:tc>
          <w:tcPr>
            <w:tcW w:w="2310" w:type="dxa"/>
            <w:tcBorders>
              <w:top w:val="nil"/>
              <w:left w:val="nil"/>
              <w:bottom w:val="single" w:color="000000" w:sz="8" w:space="0"/>
              <w:right w:val="nil"/>
            </w:tcBorders>
            <w:shd w:val="clear" w:color="auto" w:fill="auto"/>
            <w:vAlign w:val="center"/>
          </w:tcPr>
          <w:p w14:paraId="690761EC">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0.40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EEAED37">
            <w:pPr>
              <w:widowControl/>
              <w:jc w:val="right"/>
              <w:rPr>
                <w:rFonts w:ascii="微软雅黑" w:hAnsi="微软雅黑" w:eastAsia="微软雅黑" w:cs="Arial"/>
                <w:color w:val="000000"/>
                <w:kern w:val="0"/>
                <w:sz w:val="18"/>
                <w:szCs w:val="18"/>
              </w:rPr>
            </w:pPr>
          </w:p>
        </w:tc>
      </w:tr>
      <w:tr w14:paraId="4565E91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4E12B0C">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26</w:t>
            </w:r>
          </w:p>
        </w:tc>
        <w:tc>
          <w:tcPr>
            <w:tcW w:w="3130" w:type="dxa"/>
            <w:tcBorders>
              <w:top w:val="nil"/>
              <w:left w:val="nil"/>
              <w:bottom w:val="single" w:color="000000" w:sz="8" w:space="0"/>
              <w:right w:val="single" w:color="000000" w:sz="8" w:space="0"/>
            </w:tcBorders>
            <w:shd w:val="clear" w:color="auto" w:fill="auto"/>
            <w:vAlign w:val="center"/>
          </w:tcPr>
          <w:p w14:paraId="7086DB1E">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核心一级资本净额</w:t>
            </w:r>
          </w:p>
        </w:tc>
        <w:tc>
          <w:tcPr>
            <w:tcW w:w="2310" w:type="dxa"/>
            <w:tcBorders>
              <w:top w:val="nil"/>
              <w:left w:val="nil"/>
              <w:bottom w:val="single" w:color="000000" w:sz="8" w:space="0"/>
              <w:right w:val="nil"/>
            </w:tcBorders>
            <w:shd w:val="clear" w:color="auto" w:fill="auto"/>
            <w:vAlign w:val="center"/>
          </w:tcPr>
          <w:p w14:paraId="1E9441B1">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58.63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2F420596">
            <w:pPr>
              <w:widowControl/>
              <w:jc w:val="right"/>
              <w:rPr>
                <w:rFonts w:ascii="微软雅黑" w:hAnsi="微软雅黑" w:eastAsia="微软雅黑" w:cs="Arial"/>
                <w:color w:val="000000"/>
                <w:kern w:val="0"/>
                <w:sz w:val="18"/>
                <w:szCs w:val="18"/>
              </w:rPr>
            </w:pPr>
          </w:p>
        </w:tc>
      </w:tr>
      <w:tr w14:paraId="5066FD52">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5DD24E6C">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其他一级资本</w:t>
            </w:r>
          </w:p>
        </w:tc>
        <w:tc>
          <w:tcPr>
            <w:tcW w:w="1550" w:type="dxa"/>
            <w:tcBorders>
              <w:top w:val="nil"/>
              <w:left w:val="nil"/>
              <w:bottom w:val="nil"/>
              <w:right w:val="single" w:color="auto" w:sz="4" w:space="0"/>
            </w:tcBorders>
            <w:shd w:val="clear" w:color="auto" w:fill="auto"/>
            <w:noWrap/>
            <w:vAlign w:val="center"/>
          </w:tcPr>
          <w:p w14:paraId="467C4B20">
            <w:pPr>
              <w:widowControl/>
              <w:jc w:val="center"/>
              <w:rPr>
                <w:rFonts w:ascii="微软雅黑" w:hAnsi="微软雅黑" w:eastAsia="微软雅黑" w:cs="Arial"/>
                <w:b/>
                <w:bCs/>
                <w:color w:val="000000"/>
                <w:kern w:val="0"/>
                <w:sz w:val="18"/>
                <w:szCs w:val="18"/>
              </w:rPr>
            </w:pPr>
          </w:p>
        </w:tc>
      </w:tr>
      <w:tr w14:paraId="1763FDD7">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C220ED9">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27</w:t>
            </w:r>
          </w:p>
        </w:tc>
        <w:tc>
          <w:tcPr>
            <w:tcW w:w="3130" w:type="dxa"/>
            <w:tcBorders>
              <w:top w:val="nil"/>
              <w:left w:val="nil"/>
              <w:bottom w:val="single" w:color="000000" w:sz="8" w:space="0"/>
              <w:right w:val="single" w:color="000000" w:sz="8" w:space="0"/>
            </w:tcBorders>
            <w:shd w:val="clear" w:color="auto" w:fill="auto"/>
            <w:vAlign w:val="center"/>
          </w:tcPr>
          <w:p w14:paraId="053F2DCF">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其他一级资本工具及其溢价</w:t>
            </w:r>
          </w:p>
        </w:tc>
        <w:tc>
          <w:tcPr>
            <w:tcW w:w="2310" w:type="dxa"/>
            <w:tcBorders>
              <w:top w:val="nil"/>
              <w:left w:val="nil"/>
              <w:bottom w:val="single" w:color="000000" w:sz="8" w:space="0"/>
              <w:right w:val="nil"/>
            </w:tcBorders>
            <w:shd w:val="clear" w:color="auto" w:fill="auto"/>
            <w:vAlign w:val="center"/>
          </w:tcPr>
          <w:p w14:paraId="7F44DE9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20FCA280">
            <w:pPr>
              <w:widowControl/>
              <w:jc w:val="right"/>
              <w:rPr>
                <w:rFonts w:ascii="微软雅黑" w:hAnsi="微软雅黑" w:eastAsia="微软雅黑" w:cs="Arial"/>
                <w:color w:val="000000"/>
                <w:kern w:val="0"/>
                <w:sz w:val="18"/>
                <w:szCs w:val="18"/>
              </w:rPr>
            </w:pPr>
          </w:p>
        </w:tc>
      </w:tr>
      <w:tr w14:paraId="5211AF41">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6A332C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28</w:t>
            </w:r>
          </w:p>
        </w:tc>
        <w:tc>
          <w:tcPr>
            <w:tcW w:w="3130" w:type="dxa"/>
            <w:tcBorders>
              <w:top w:val="nil"/>
              <w:left w:val="nil"/>
              <w:bottom w:val="single" w:color="000000" w:sz="8" w:space="0"/>
              <w:right w:val="single" w:color="000000" w:sz="8" w:space="0"/>
            </w:tcBorders>
            <w:shd w:val="clear" w:color="auto" w:fill="auto"/>
            <w:vAlign w:val="center"/>
          </w:tcPr>
          <w:p w14:paraId="0C7B4C8A">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其中：权益部分</w:t>
            </w:r>
          </w:p>
        </w:tc>
        <w:tc>
          <w:tcPr>
            <w:tcW w:w="2310" w:type="dxa"/>
            <w:tcBorders>
              <w:top w:val="nil"/>
              <w:left w:val="nil"/>
              <w:bottom w:val="single" w:color="000000" w:sz="8" w:space="0"/>
              <w:right w:val="nil"/>
            </w:tcBorders>
            <w:shd w:val="clear" w:color="auto" w:fill="auto"/>
            <w:vAlign w:val="center"/>
          </w:tcPr>
          <w:p w14:paraId="7DEBDD4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A13CFF5">
            <w:pPr>
              <w:widowControl/>
              <w:jc w:val="right"/>
              <w:rPr>
                <w:rFonts w:ascii="微软雅黑" w:hAnsi="微软雅黑" w:eastAsia="微软雅黑" w:cs="Arial"/>
                <w:color w:val="000000"/>
                <w:kern w:val="0"/>
                <w:sz w:val="18"/>
                <w:szCs w:val="18"/>
              </w:rPr>
            </w:pPr>
          </w:p>
        </w:tc>
      </w:tr>
      <w:tr w14:paraId="6C4F012E">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3FF68D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29</w:t>
            </w:r>
          </w:p>
        </w:tc>
        <w:tc>
          <w:tcPr>
            <w:tcW w:w="3130" w:type="dxa"/>
            <w:tcBorders>
              <w:top w:val="nil"/>
              <w:left w:val="nil"/>
              <w:bottom w:val="single" w:color="000000" w:sz="8" w:space="0"/>
              <w:right w:val="single" w:color="000000" w:sz="8" w:space="0"/>
            </w:tcBorders>
            <w:shd w:val="clear" w:color="auto" w:fill="auto"/>
            <w:vAlign w:val="center"/>
          </w:tcPr>
          <w:p w14:paraId="359A2395">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其中：负债部分</w:t>
            </w:r>
          </w:p>
        </w:tc>
        <w:tc>
          <w:tcPr>
            <w:tcW w:w="2310" w:type="dxa"/>
            <w:tcBorders>
              <w:top w:val="nil"/>
              <w:left w:val="nil"/>
              <w:bottom w:val="single" w:color="000000" w:sz="8" w:space="0"/>
              <w:right w:val="nil"/>
            </w:tcBorders>
            <w:shd w:val="clear" w:color="auto" w:fill="auto"/>
            <w:vAlign w:val="center"/>
          </w:tcPr>
          <w:p w14:paraId="7348B7A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2F45DE70">
            <w:pPr>
              <w:widowControl/>
              <w:jc w:val="right"/>
              <w:rPr>
                <w:rFonts w:ascii="微软雅黑" w:hAnsi="微软雅黑" w:eastAsia="微软雅黑" w:cs="Arial"/>
                <w:color w:val="000000"/>
                <w:kern w:val="0"/>
                <w:sz w:val="18"/>
                <w:szCs w:val="18"/>
              </w:rPr>
            </w:pPr>
          </w:p>
        </w:tc>
      </w:tr>
      <w:tr w14:paraId="0C035388">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6B9BB6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30</w:t>
            </w:r>
          </w:p>
        </w:tc>
        <w:tc>
          <w:tcPr>
            <w:tcW w:w="3130" w:type="dxa"/>
            <w:tcBorders>
              <w:top w:val="nil"/>
              <w:left w:val="nil"/>
              <w:bottom w:val="single" w:color="000000" w:sz="8" w:space="0"/>
              <w:right w:val="single" w:color="000000" w:sz="8" w:space="0"/>
            </w:tcBorders>
            <w:shd w:val="clear" w:color="auto" w:fill="auto"/>
            <w:vAlign w:val="center"/>
          </w:tcPr>
          <w:p w14:paraId="653DB3EB">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少数股东资本可计入部分</w:t>
            </w:r>
          </w:p>
        </w:tc>
        <w:tc>
          <w:tcPr>
            <w:tcW w:w="2310" w:type="dxa"/>
            <w:tcBorders>
              <w:top w:val="nil"/>
              <w:left w:val="nil"/>
              <w:bottom w:val="single" w:color="000000" w:sz="8" w:space="0"/>
              <w:right w:val="nil"/>
            </w:tcBorders>
            <w:shd w:val="clear" w:color="auto" w:fill="auto"/>
            <w:vAlign w:val="center"/>
          </w:tcPr>
          <w:p w14:paraId="0E4F9169">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218CC7C4">
            <w:pPr>
              <w:widowControl/>
              <w:jc w:val="right"/>
              <w:rPr>
                <w:rFonts w:ascii="微软雅黑" w:hAnsi="微软雅黑" w:eastAsia="微软雅黑" w:cs="Arial"/>
                <w:color w:val="000000"/>
                <w:kern w:val="0"/>
                <w:sz w:val="18"/>
                <w:szCs w:val="18"/>
              </w:rPr>
            </w:pPr>
          </w:p>
        </w:tc>
      </w:tr>
      <w:tr w14:paraId="133996BB">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687031AB">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31</w:t>
            </w:r>
          </w:p>
        </w:tc>
        <w:tc>
          <w:tcPr>
            <w:tcW w:w="3130" w:type="dxa"/>
            <w:tcBorders>
              <w:top w:val="nil"/>
              <w:left w:val="nil"/>
              <w:bottom w:val="single" w:color="000000" w:sz="8" w:space="0"/>
              <w:right w:val="single" w:color="000000" w:sz="8" w:space="0"/>
            </w:tcBorders>
            <w:shd w:val="clear" w:color="auto" w:fill="auto"/>
            <w:vAlign w:val="center"/>
          </w:tcPr>
          <w:p w14:paraId="5D0A160D">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扣除前的其他一级资本</w:t>
            </w:r>
          </w:p>
        </w:tc>
        <w:tc>
          <w:tcPr>
            <w:tcW w:w="2310" w:type="dxa"/>
            <w:tcBorders>
              <w:top w:val="nil"/>
              <w:left w:val="nil"/>
              <w:bottom w:val="single" w:color="000000" w:sz="8" w:space="0"/>
              <w:right w:val="nil"/>
            </w:tcBorders>
            <w:shd w:val="clear" w:color="auto" w:fill="auto"/>
            <w:vAlign w:val="center"/>
          </w:tcPr>
          <w:p w14:paraId="046B31FF">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C9AA178">
            <w:pPr>
              <w:widowControl/>
              <w:jc w:val="right"/>
              <w:rPr>
                <w:rFonts w:ascii="微软雅黑" w:hAnsi="微软雅黑" w:eastAsia="微软雅黑" w:cs="Arial"/>
                <w:color w:val="000000"/>
                <w:kern w:val="0"/>
                <w:sz w:val="18"/>
                <w:szCs w:val="18"/>
              </w:rPr>
            </w:pPr>
          </w:p>
        </w:tc>
      </w:tr>
      <w:tr w14:paraId="051ABC9C">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20068C6B">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其他一级资本:扣除项</w:t>
            </w:r>
          </w:p>
        </w:tc>
        <w:tc>
          <w:tcPr>
            <w:tcW w:w="1550" w:type="dxa"/>
            <w:tcBorders>
              <w:top w:val="nil"/>
              <w:left w:val="nil"/>
              <w:bottom w:val="nil"/>
              <w:right w:val="single" w:color="auto" w:sz="4" w:space="0"/>
            </w:tcBorders>
            <w:shd w:val="clear" w:color="auto" w:fill="auto"/>
            <w:noWrap/>
            <w:vAlign w:val="center"/>
          </w:tcPr>
          <w:p w14:paraId="21E8ADAA">
            <w:pPr>
              <w:widowControl/>
              <w:jc w:val="center"/>
              <w:rPr>
                <w:rFonts w:ascii="微软雅黑" w:hAnsi="微软雅黑" w:eastAsia="微软雅黑" w:cs="Arial"/>
                <w:b/>
                <w:bCs/>
                <w:color w:val="000000"/>
                <w:kern w:val="0"/>
                <w:sz w:val="18"/>
                <w:szCs w:val="18"/>
              </w:rPr>
            </w:pPr>
          </w:p>
        </w:tc>
      </w:tr>
      <w:tr w14:paraId="73A8A6FE">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2CD841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32</w:t>
            </w:r>
          </w:p>
        </w:tc>
        <w:tc>
          <w:tcPr>
            <w:tcW w:w="3130" w:type="dxa"/>
            <w:tcBorders>
              <w:top w:val="nil"/>
              <w:left w:val="nil"/>
              <w:bottom w:val="single" w:color="000000" w:sz="8" w:space="0"/>
              <w:right w:val="single" w:color="000000" w:sz="8" w:space="0"/>
            </w:tcBorders>
            <w:shd w:val="clear" w:color="auto" w:fill="auto"/>
            <w:vAlign w:val="center"/>
          </w:tcPr>
          <w:p w14:paraId="5B844A6F">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直接或间接持有的本银行其他一级资本</w:t>
            </w:r>
          </w:p>
        </w:tc>
        <w:tc>
          <w:tcPr>
            <w:tcW w:w="2310" w:type="dxa"/>
            <w:tcBorders>
              <w:top w:val="nil"/>
              <w:left w:val="nil"/>
              <w:bottom w:val="single" w:color="000000" w:sz="8" w:space="0"/>
              <w:right w:val="nil"/>
            </w:tcBorders>
            <w:shd w:val="clear" w:color="auto" w:fill="auto"/>
            <w:vAlign w:val="center"/>
          </w:tcPr>
          <w:p w14:paraId="11351709">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471AC7D4">
            <w:pPr>
              <w:widowControl/>
              <w:jc w:val="right"/>
              <w:rPr>
                <w:rFonts w:ascii="微软雅黑" w:hAnsi="微软雅黑" w:eastAsia="微软雅黑" w:cs="Arial"/>
                <w:color w:val="000000"/>
                <w:kern w:val="0"/>
                <w:sz w:val="18"/>
                <w:szCs w:val="18"/>
              </w:rPr>
            </w:pPr>
          </w:p>
        </w:tc>
      </w:tr>
      <w:tr w14:paraId="3C8F5E3D">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64DC2CD8">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33</w:t>
            </w:r>
          </w:p>
        </w:tc>
        <w:tc>
          <w:tcPr>
            <w:tcW w:w="3130" w:type="dxa"/>
            <w:tcBorders>
              <w:top w:val="nil"/>
              <w:left w:val="nil"/>
              <w:bottom w:val="single" w:color="000000" w:sz="8" w:space="0"/>
              <w:right w:val="single" w:color="000000" w:sz="8" w:space="0"/>
            </w:tcBorders>
            <w:shd w:val="clear" w:color="auto" w:fill="auto"/>
            <w:vAlign w:val="center"/>
          </w:tcPr>
          <w:p w14:paraId="6EFDC970">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银行间或银行与其他金融机构间通过协议相互持有的其他一级资本</w:t>
            </w:r>
          </w:p>
        </w:tc>
        <w:tc>
          <w:tcPr>
            <w:tcW w:w="2310" w:type="dxa"/>
            <w:tcBorders>
              <w:top w:val="nil"/>
              <w:left w:val="nil"/>
              <w:bottom w:val="single" w:color="000000" w:sz="8" w:space="0"/>
              <w:right w:val="nil"/>
            </w:tcBorders>
            <w:shd w:val="clear" w:color="auto" w:fill="auto"/>
            <w:vAlign w:val="center"/>
          </w:tcPr>
          <w:p w14:paraId="104226A0">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957AB35">
            <w:pPr>
              <w:widowControl/>
              <w:jc w:val="right"/>
              <w:rPr>
                <w:rFonts w:ascii="微软雅黑" w:hAnsi="微软雅黑" w:eastAsia="微软雅黑" w:cs="Arial"/>
                <w:color w:val="000000"/>
                <w:kern w:val="0"/>
                <w:sz w:val="18"/>
                <w:szCs w:val="18"/>
              </w:rPr>
            </w:pPr>
          </w:p>
        </w:tc>
      </w:tr>
      <w:tr w14:paraId="45822F7E">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3C6FF6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34</w:t>
            </w:r>
          </w:p>
        </w:tc>
        <w:tc>
          <w:tcPr>
            <w:tcW w:w="3130" w:type="dxa"/>
            <w:tcBorders>
              <w:top w:val="nil"/>
              <w:left w:val="nil"/>
              <w:bottom w:val="single" w:color="000000" w:sz="8" w:space="0"/>
              <w:right w:val="single" w:color="000000" w:sz="8" w:space="0"/>
            </w:tcBorders>
            <w:shd w:val="clear" w:color="auto" w:fill="auto"/>
            <w:vAlign w:val="center"/>
          </w:tcPr>
          <w:p w14:paraId="3C12F831">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对未并表金融机构小额少数资本投资中的其他一级资本中应扣除金额</w:t>
            </w:r>
          </w:p>
        </w:tc>
        <w:tc>
          <w:tcPr>
            <w:tcW w:w="2310" w:type="dxa"/>
            <w:tcBorders>
              <w:top w:val="nil"/>
              <w:left w:val="nil"/>
              <w:bottom w:val="single" w:color="000000" w:sz="8" w:space="0"/>
              <w:right w:val="nil"/>
            </w:tcBorders>
            <w:shd w:val="clear" w:color="auto" w:fill="auto"/>
            <w:vAlign w:val="center"/>
          </w:tcPr>
          <w:p w14:paraId="3412DED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5DA62736">
            <w:pPr>
              <w:widowControl/>
              <w:jc w:val="right"/>
              <w:rPr>
                <w:rFonts w:ascii="微软雅黑" w:hAnsi="微软雅黑" w:eastAsia="微软雅黑" w:cs="Arial"/>
                <w:color w:val="000000"/>
                <w:kern w:val="0"/>
                <w:sz w:val="18"/>
                <w:szCs w:val="18"/>
              </w:rPr>
            </w:pPr>
          </w:p>
        </w:tc>
      </w:tr>
      <w:tr w14:paraId="53B11B65">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7A7ABA4">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35</w:t>
            </w:r>
          </w:p>
        </w:tc>
        <w:tc>
          <w:tcPr>
            <w:tcW w:w="3130" w:type="dxa"/>
            <w:tcBorders>
              <w:top w:val="nil"/>
              <w:left w:val="nil"/>
              <w:bottom w:val="single" w:color="000000" w:sz="8" w:space="0"/>
              <w:right w:val="single" w:color="000000" w:sz="8" w:space="0"/>
            </w:tcBorders>
            <w:shd w:val="clear" w:color="auto" w:fill="auto"/>
            <w:vAlign w:val="center"/>
          </w:tcPr>
          <w:p w14:paraId="5353AB96">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对未并表金融机构大额少数资本投资中的其他一级资本中应扣除金额</w:t>
            </w:r>
          </w:p>
        </w:tc>
        <w:tc>
          <w:tcPr>
            <w:tcW w:w="2310" w:type="dxa"/>
            <w:tcBorders>
              <w:top w:val="nil"/>
              <w:left w:val="nil"/>
              <w:bottom w:val="single" w:color="000000" w:sz="8" w:space="0"/>
              <w:right w:val="nil"/>
            </w:tcBorders>
            <w:shd w:val="clear" w:color="auto" w:fill="auto"/>
            <w:vAlign w:val="center"/>
          </w:tcPr>
          <w:p w14:paraId="6A946927">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2F734681">
            <w:pPr>
              <w:widowControl/>
              <w:jc w:val="right"/>
              <w:rPr>
                <w:rFonts w:ascii="微软雅黑" w:hAnsi="微软雅黑" w:eastAsia="微软雅黑" w:cs="Arial"/>
                <w:color w:val="000000"/>
                <w:kern w:val="0"/>
                <w:sz w:val="18"/>
                <w:szCs w:val="18"/>
              </w:rPr>
            </w:pPr>
          </w:p>
        </w:tc>
      </w:tr>
      <w:tr w14:paraId="0A8FFA72">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F540A8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36</w:t>
            </w:r>
          </w:p>
        </w:tc>
        <w:tc>
          <w:tcPr>
            <w:tcW w:w="3130" w:type="dxa"/>
            <w:tcBorders>
              <w:top w:val="nil"/>
              <w:left w:val="nil"/>
              <w:bottom w:val="single" w:color="000000" w:sz="8" w:space="0"/>
              <w:right w:val="single" w:color="000000" w:sz="8" w:space="0"/>
            </w:tcBorders>
            <w:shd w:val="clear" w:color="auto" w:fill="auto"/>
            <w:vAlign w:val="center"/>
          </w:tcPr>
          <w:p w14:paraId="01A5441B">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其他应在其他一级资本中扣除的项目合计</w:t>
            </w:r>
          </w:p>
        </w:tc>
        <w:tc>
          <w:tcPr>
            <w:tcW w:w="2310" w:type="dxa"/>
            <w:tcBorders>
              <w:top w:val="nil"/>
              <w:left w:val="nil"/>
              <w:bottom w:val="single" w:color="000000" w:sz="8" w:space="0"/>
              <w:right w:val="nil"/>
            </w:tcBorders>
            <w:shd w:val="clear" w:color="auto" w:fill="auto"/>
            <w:vAlign w:val="center"/>
          </w:tcPr>
          <w:p w14:paraId="7DBD939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5175B376">
            <w:pPr>
              <w:widowControl/>
              <w:jc w:val="right"/>
              <w:rPr>
                <w:rFonts w:ascii="微软雅黑" w:hAnsi="微软雅黑" w:eastAsia="微软雅黑" w:cs="Arial"/>
                <w:color w:val="000000"/>
                <w:kern w:val="0"/>
                <w:sz w:val="18"/>
                <w:szCs w:val="18"/>
              </w:rPr>
            </w:pPr>
          </w:p>
        </w:tc>
      </w:tr>
      <w:tr w14:paraId="78629677">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155F955">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37</w:t>
            </w:r>
          </w:p>
        </w:tc>
        <w:tc>
          <w:tcPr>
            <w:tcW w:w="3130" w:type="dxa"/>
            <w:tcBorders>
              <w:top w:val="nil"/>
              <w:left w:val="nil"/>
              <w:bottom w:val="single" w:color="000000" w:sz="8" w:space="0"/>
              <w:right w:val="single" w:color="000000" w:sz="8" w:space="0"/>
            </w:tcBorders>
            <w:shd w:val="clear" w:color="auto" w:fill="auto"/>
            <w:vAlign w:val="center"/>
          </w:tcPr>
          <w:p w14:paraId="449FFA5C">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应从二级资本中扣除的未扣缺口</w:t>
            </w:r>
          </w:p>
        </w:tc>
        <w:tc>
          <w:tcPr>
            <w:tcW w:w="2310" w:type="dxa"/>
            <w:tcBorders>
              <w:top w:val="nil"/>
              <w:left w:val="nil"/>
              <w:bottom w:val="single" w:color="000000" w:sz="8" w:space="0"/>
              <w:right w:val="nil"/>
            </w:tcBorders>
            <w:shd w:val="clear" w:color="auto" w:fill="auto"/>
            <w:vAlign w:val="center"/>
          </w:tcPr>
          <w:p w14:paraId="41E9DA65">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AE39452">
            <w:pPr>
              <w:widowControl/>
              <w:jc w:val="right"/>
              <w:rPr>
                <w:rFonts w:ascii="微软雅黑" w:hAnsi="微软雅黑" w:eastAsia="微软雅黑" w:cs="Arial"/>
                <w:color w:val="000000"/>
                <w:kern w:val="0"/>
                <w:sz w:val="18"/>
                <w:szCs w:val="18"/>
              </w:rPr>
            </w:pPr>
          </w:p>
        </w:tc>
      </w:tr>
      <w:tr w14:paraId="7EE92ED4">
        <w:tblPrEx>
          <w:tblCellMar>
            <w:top w:w="0" w:type="dxa"/>
            <w:left w:w="108" w:type="dxa"/>
            <w:bottom w:w="0" w:type="dxa"/>
            <w:right w:w="108" w:type="dxa"/>
          </w:tblCellMar>
        </w:tblPrEx>
        <w:trPr>
          <w:trHeight w:val="623"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60CA7D1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38</w:t>
            </w:r>
          </w:p>
        </w:tc>
        <w:tc>
          <w:tcPr>
            <w:tcW w:w="3130" w:type="dxa"/>
            <w:tcBorders>
              <w:top w:val="nil"/>
              <w:left w:val="nil"/>
              <w:bottom w:val="single" w:color="000000" w:sz="8" w:space="0"/>
              <w:right w:val="single" w:color="000000" w:sz="8" w:space="0"/>
            </w:tcBorders>
            <w:shd w:val="clear" w:color="auto" w:fill="auto"/>
            <w:vAlign w:val="center"/>
          </w:tcPr>
          <w:p w14:paraId="6C92B9AA">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其他一级资本扣除项总和</w:t>
            </w:r>
          </w:p>
        </w:tc>
        <w:tc>
          <w:tcPr>
            <w:tcW w:w="2310" w:type="dxa"/>
            <w:tcBorders>
              <w:top w:val="nil"/>
              <w:left w:val="nil"/>
              <w:bottom w:val="single" w:color="000000" w:sz="8" w:space="0"/>
              <w:right w:val="nil"/>
            </w:tcBorders>
            <w:shd w:val="clear" w:color="auto" w:fill="auto"/>
            <w:vAlign w:val="center"/>
          </w:tcPr>
          <w:p w14:paraId="545B4A8F">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A2F778F">
            <w:pPr>
              <w:widowControl/>
              <w:jc w:val="right"/>
              <w:rPr>
                <w:rFonts w:ascii="微软雅黑" w:hAnsi="微软雅黑" w:eastAsia="微软雅黑" w:cs="Arial"/>
                <w:color w:val="000000"/>
                <w:kern w:val="0"/>
                <w:sz w:val="18"/>
                <w:szCs w:val="18"/>
              </w:rPr>
            </w:pPr>
          </w:p>
        </w:tc>
      </w:tr>
      <w:tr w14:paraId="6C7A7DC7">
        <w:tblPrEx>
          <w:tblCellMar>
            <w:top w:w="0" w:type="dxa"/>
            <w:left w:w="108" w:type="dxa"/>
            <w:bottom w:w="0" w:type="dxa"/>
            <w:right w:w="108" w:type="dxa"/>
          </w:tblCellMar>
        </w:tblPrEx>
        <w:trPr>
          <w:trHeight w:val="556"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196072B">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39</w:t>
            </w:r>
          </w:p>
        </w:tc>
        <w:tc>
          <w:tcPr>
            <w:tcW w:w="3130" w:type="dxa"/>
            <w:tcBorders>
              <w:top w:val="nil"/>
              <w:left w:val="nil"/>
              <w:bottom w:val="single" w:color="000000" w:sz="8" w:space="0"/>
              <w:right w:val="single" w:color="000000" w:sz="8" w:space="0"/>
            </w:tcBorders>
            <w:shd w:val="clear" w:color="auto" w:fill="auto"/>
            <w:vAlign w:val="center"/>
          </w:tcPr>
          <w:p w14:paraId="3D69B5E5">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其他一级资本净额</w:t>
            </w:r>
          </w:p>
        </w:tc>
        <w:tc>
          <w:tcPr>
            <w:tcW w:w="2310" w:type="dxa"/>
            <w:tcBorders>
              <w:top w:val="nil"/>
              <w:left w:val="nil"/>
              <w:bottom w:val="single" w:color="000000" w:sz="8" w:space="0"/>
              <w:right w:val="nil"/>
            </w:tcBorders>
            <w:shd w:val="clear" w:color="auto" w:fill="auto"/>
            <w:vAlign w:val="center"/>
          </w:tcPr>
          <w:p w14:paraId="0DBEC2B8">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60B43FC">
            <w:pPr>
              <w:widowControl/>
              <w:jc w:val="right"/>
              <w:rPr>
                <w:rFonts w:ascii="微软雅黑" w:hAnsi="微软雅黑" w:eastAsia="微软雅黑" w:cs="Arial"/>
                <w:color w:val="000000"/>
                <w:kern w:val="0"/>
                <w:sz w:val="18"/>
                <w:szCs w:val="18"/>
              </w:rPr>
            </w:pPr>
          </w:p>
        </w:tc>
      </w:tr>
      <w:tr w14:paraId="4D7E7F9B">
        <w:tblPrEx>
          <w:tblCellMar>
            <w:top w:w="0" w:type="dxa"/>
            <w:left w:w="108" w:type="dxa"/>
            <w:bottom w:w="0" w:type="dxa"/>
            <w:right w:w="108" w:type="dxa"/>
          </w:tblCellMar>
        </w:tblPrEx>
        <w:trPr>
          <w:trHeight w:val="377"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7F2268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40</w:t>
            </w:r>
          </w:p>
        </w:tc>
        <w:tc>
          <w:tcPr>
            <w:tcW w:w="3130" w:type="dxa"/>
            <w:tcBorders>
              <w:top w:val="nil"/>
              <w:left w:val="nil"/>
              <w:bottom w:val="single" w:color="000000" w:sz="8" w:space="0"/>
              <w:right w:val="single" w:color="000000" w:sz="8" w:space="0"/>
            </w:tcBorders>
            <w:shd w:val="clear" w:color="auto" w:fill="auto"/>
            <w:vAlign w:val="center"/>
          </w:tcPr>
          <w:p w14:paraId="5B915B2C">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一级资本净额</w:t>
            </w:r>
          </w:p>
        </w:tc>
        <w:tc>
          <w:tcPr>
            <w:tcW w:w="2310" w:type="dxa"/>
            <w:tcBorders>
              <w:top w:val="nil"/>
              <w:left w:val="nil"/>
              <w:bottom w:val="single" w:color="000000" w:sz="8" w:space="0"/>
              <w:right w:val="nil"/>
            </w:tcBorders>
            <w:shd w:val="clear" w:color="auto" w:fill="auto"/>
            <w:vAlign w:val="center"/>
          </w:tcPr>
          <w:p w14:paraId="154EB0C1">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58.63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69443C3">
            <w:pPr>
              <w:widowControl/>
              <w:jc w:val="right"/>
              <w:rPr>
                <w:rFonts w:ascii="微软雅黑" w:hAnsi="微软雅黑" w:eastAsia="微软雅黑" w:cs="Arial"/>
                <w:color w:val="000000"/>
                <w:kern w:val="0"/>
                <w:sz w:val="18"/>
                <w:szCs w:val="18"/>
              </w:rPr>
            </w:pPr>
          </w:p>
        </w:tc>
      </w:tr>
      <w:tr w14:paraId="28A94615">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41F3A7E5">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二级资本</w:t>
            </w:r>
          </w:p>
        </w:tc>
        <w:tc>
          <w:tcPr>
            <w:tcW w:w="1550" w:type="dxa"/>
            <w:tcBorders>
              <w:top w:val="nil"/>
              <w:left w:val="nil"/>
              <w:bottom w:val="nil"/>
              <w:right w:val="single" w:color="auto" w:sz="4" w:space="0"/>
            </w:tcBorders>
            <w:shd w:val="clear" w:color="auto" w:fill="auto"/>
            <w:noWrap/>
            <w:vAlign w:val="center"/>
          </w:tcPr>
          <w:p w14:paraId="19C38BA1">
            <w:pPr>
              <w:widowControl/>
              <w:jc w:val="center"/>
              <w:rPr>
                <w:rFonts w:ascii="微软雅黑" w:hAnsi="微软雅黑" w:eastAsia="微软雅黑" w:cs="Arial"/>
                <w:b/>
                <w:bCs/>
                <w:color w:val="000000"/>
                <w:kern w:val="0"/>
                <w:sz w:val="18"/>
                <w:szCs w:val="18"/>
              </w:rPr>
            </w:pPr>
          </w:p>
        </w:tc>
      </w:tr>
      <w:tr w14:paraId="0A4DECF5">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6AB4E3E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41</w:t>
            </w:r>
          </w:p>
        </w:tc>
        <w:tc>
          <w:tcPr>
            <w:tcW w:w="3130" w:type="dxa"/>
            <w:tcBorders>
              <w:top w:val="nil"/>
              <w:left w:val="nil"/>
              <w:bottom w:val="single" w:color="000000" w:sz="8" w:space="0"/>
              <w:right w:val="single" w:color="000000" w:sz="8" w:space="0"/>
            </w:tcBorders>
            <w:shd w:val="clear" w:color="auto" w:fill="auto"/>
            <w:vAlign w:val="center"/>
          </w:tcPr>
          <w:p w14:paraId="718B0673">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二级资本工具及其溢价</w:t>
            </w:r>
          </w:p>
        </w:tc>
        <w:tc>
          <w:tcPr>
            <w:tcW w:w="2310" w:type="dxa"/>
            <w:tcBorders>
              <w:top w:val="nil"/>
              <w:left w:val="nil"/>
              <w:bottom w:val="single" w:color="000000" w:sz="8" w:space="0"/>
              <w:right w:val="nil"/>
            </w:tcBorders>
            <w:shd w:val="clear" w:color="auto" w:fill="auto"/>
            <w:vAlign w:val="center"/>
          </w:tcPr>
          <w:p w14:paraId="58E1AAA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0B9ABD39">
            <w:pPr>
              <w:widowControl/>
              <w:jc w:val="right"/>
              <w:rPr>
                <w:rFonts w:ascii="微软雅黑" w:hAnsi="微软雅黑" w:eastAsia="微软雅黑" w:cs="Arial"/>
                <w:color w:val="000000"/>
                <w:kern w:val="0"/>
                <w:sz w:val="18"/>
                <w:szCs w:val="18"/>
              </w:rPr>
            </w:pPr>
          </w:p>
        </w:tc>
      </w:tr>
      <w:tr w14:paraId="5C33554A">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E80F52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42</w:t>
            </w:r>
          </w:p>
        </w:tc>
        <w:tc>
          <w:tcPr>
            <w:tcW w:w="3130" w:type="dxa"/>
            <w:tcBorders>
              <w:top w:val="nil"/>
              <w:left w:val="nil"/>
              <w:bottom w:val="single" w:color="000000" w:sz="8" w:space="0"/>
              <w:right w:val="single" w:color="000000" w:sz="8" w:space="0"/>
            </w:tcBorders>
            <w:shd w:val="clear" w:color="auto" w:fill="auto"/>
            <w:vAlign w:val="center"/>
          </w:tcPr>
          <w:p w14:paraId="16A76D2B">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少数股东资本可计入部分</w:t>
            </w:r>
          </w:p>
        </w:tc>
        <w:tc>
          <w:tcPr>
            <w:tcW w:w="2310" w:type="dxa"/>
            <w:tcBorders>
              <w:top w:val="nil"/>
              <w:left w:val="nil"/>
              <w:bottom w:val="single" w:color="000000" w:sz="8" w:space="0"/>
              <w:right w:val="nil"/>
            </w:tcBorders>
            <w:shd w:val="clear" w:color="auto" w:fill="auto"/>
            <w:vAlign w:val="center"/>
          </w:tcPr>
          <w:p w14:paraId="4B0C7C5E">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6F84293">
            <w:pPr>
              <w:widowControl/>
              <w:jc w:val="right"/>
              <w:rPr>
                <w:rFonts w:ascii="微软雅黑" w:hAnsi="微软雅黑" w:eastAsia="微软雅黑" w:cs="Arial"/>
                <w:color w:val="000000"/>
                <w:kern w:val="0"/>
                <w:sz w:val="18"/>
                <w:szCs w:val="18"/>
              </w:rPr>
            </w:pPr>
          </w:p>
        </w:tc>
      </w:tr>
      <w:tr w14:paraId="4B1D24F8">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4BF714D">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43</w:t>
            </w:r>
          </w:p>
        </w:tc>
        <w:tc>
          <w:tcPr>
            <w:tcW w:w="3130" w:type="dxa"/>
            <w:tcBorders>
              <w:top w:val="nil"/>
              <w:left w:val="nil"/>
              <w:bottom w:val="single" w:color="000000" w:sz="8" w:space="0"/>
              <w:right w:val="single" w:color="000000" w:sz="8" w:space="0"/>
            </w:tcBorders>
            <w:shd w:val="clear" w:color="auto" w:fill="auto"/>
            <w:vAlign w:val="center"/>
          </w:tcPr>
          <w:p w14:paraId="2335650B">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超额损失准备可计入部分</w:t>
            </w:r>
          </w:p>
        </w:tc>
        <w:tc>
          <w:tcPr>
            <w:tcW w:w="2310" w:type="dxa"/>
            <w:tcBorders>
              <w:top w:val="nil"/>
              <w:left w:val="nil"/>
              <w:bottom w:val="single" w:color="000000" w:sz="8" w:space="0"/>
              <w:right w:val="nil"/>
            </w:tcBorders>
            <w:shd w:val="clear" w:color="auto" w:fill="auto"/>
            <w:vAlign w:val="center"/>
          </w:tcPr>
          <w:p w14:paraId="6634DB32">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5.10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B5A40AF">
            <w:pPr>
              <w:widowControl/>
              <w:jc w:val="right"/>
              <w:rPr>
                <w:rFonts w:ascii="微软雅黑" w:hAnsi="微软雅黑" w:eastAsia="微软雅黑" w:cs="Arial"/>
                <w:color w:val="000000"/>
                <w:kern w:val="0"/>
                <w:sz w:val="18"/>
                <w:szCs w:val="18"/>
              </w:rPr>
            </w:pPr>
          </w:p>
        </w:tc>
      </w:tr>
      <w:tr w14:paraId="32D29FD7">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EBCCE0D">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44</w:t>
            </w:r>
          </w:p>
        </w:tc>
        <w:tc>
          <w:tcPr>
            <w:tcW w:w="3130" w:type="dxa"/>
            <w:tcBorders>
              <w:top w:val="nil"/>
              <w:left w:val="nil"/>
              <w:bottom w:val="single" w:color="000000" w:sz="8" w:space="0"/>
              <w:right w:val="single" w:color="000000" w:sz="8" w:space="0"/>
            </w:tcBorders>
            <w:shd w:val="clear" w:color="auto" w:fill="auto"/>
            <w:vAlign w:val="center"/>
          </w:tcPr>
          <w:p w14:paraId="2BBCC6D8">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扣除前的二级资本</w:t>
            </w:r>
          </w:p>
        </w:tc>
        <w:tc>
          <w:tcPr>
            <w:tcW w:w="2310" w:type="dxa"/>
            <w:tcBorders>
              <w:top w:val="nil"/>
              <w:left w:val="nil"/>
              <w:bottom w:val="single" w:color="000000" w:sz="8" w:space="0"/>
              <w:right w:val="nil"/>
            </w:tcBorders>
            <w:shd w:val="clear" w:color="auto" w:fill="auto"/>
            <w:vAlign w:val="center"/>
          </w:tcPr>
          <w:p w14:paraId="62A4306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5.10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66ACB3D0">
            <w:pPr>
              <w:widowControl/>
              <w:jc w:val="right"/>
              <w:rPr>
                <w:rFonts w:ascii="微软雅黑" w:hAnsi="微软雅黑" w:eastAsia="微软雅黑" w:cs="Arial"/>
                <w:color w:val="000000"/>
                <w:kern w:val="0"/>
                <w:sz w:val="18"/>
                <w:szCs w:val="18"/>
              </w:rPr>
            </w:pPr>
          </w:p>
        </w:tc>
      </w:tr>
      <w:tr w14:paraId="2746EF9F">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668E36E7">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二级资本：扣除项</w:t>
            </w:r>
          </w:p>
        </w:tc>
        <w:tc>
          <w:tcPr>
            <w:tcW w:w="1550" w:type="dxa"/>
            <w:tcBorders>
              <w:top w:val="nil"/>
              <w:left w:val="nil"/>
              <w:bottom w:val="nil"/>
              <w:right w:val="single" w:color="auto" w:sz="4" w:space="0"/>
            </w:tcBorders>
            <w:shd w:val="clear" w:color="auto" w:fill="auto"/>
            <w:noWrap/>
            <w:vAlign w:val="center"/>
          </w:tcPr>
          <w:p w14:paraId="51C08334">
            <w:pPr>
              <w:widowControl/>
              <w:jc w:val="center"/>
              <w:rPr>
                <w:rFonts w:ascii="微软雅黑" w:hAnsi="微软雅黑" w:eastAsia="微软雅黑" w:cs="Arial"/>
                <w:b/>
                <w:bCs/>
                <w:color w:val="000000"/>
                <w:kern w:val="0"/>
                <w:sz w:val="18"/>
                <w:szCs w:val="18"/>
              </w:rPr>
            </w:pPr>
          </w:p>
        </w:tc>
      </w:tr>
      <w:tr w14:paraId="6734C554">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A435F4D">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45</w:t>
            </w:r>
          </w:p>
        </w:tc>
        <w:tc>
          <w:tcPr>
            <w:tcW w:w="3130" w:type="dxa"/>
            <w:tcBorders>
              <w:top w:val="nil"/>
              <w:left w:val="nil"/>
              <w:bottom w:val="single" w:color="000000" w:sz="8" w:space="0"/>
              <w:right w:val="single" w:color="000000" w:sz="8" w:space="0"/>
            </w:tcBorders>
            <w:shd w:val="clear" w:color="auto" w:fill="auto"/>
            <w:vAlign w:val="center"/>
          </w:tcPr>
          <w:p w14:paraId="378CBED6">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直接或间接持有的本银行的二级资本</w:t>
            </w:r>
          </w:p>
        </w:tc>
        <w:tc>
          <w:tcPr>
            <w:tcW w:w="2310" w:type="dxa"/>
            <w:tcBorders>
              <w:top w:val="nil"/>
              <w:left w:val="nil"/>
              <w:bottom w:val="single" w:color="000000" w:sz="8" w:space="0"/>
              <w:right w:val="nil"/>
            </w:tcBorders>
            <w:shd w:val="clear" w:color="auto" w:fill="auto"/>
            <w:vAlign w:val="center"/>
          </w:tcPr>
          <w:p w14:paraId="63B933C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0FCB97BF">
            <w:pPr>
              <w:widowControl/>
              <w:jc w:val="right"/>
              <w:rPr>
                <w:rFonts w:ascii="微软雅黑" w:hAnsi="微软雅黑" w:eastAsia="微软雅黑" w:cs="Arial"/>
                <w:color w:val="000000"/>
                <w:kern w:val="0"/>
                <w:sz w:val="18"/>
                <w:szCs w:val="18"/>
              </w:rPr>
            </w:pPr>
          </w:p>
        </w:tc>
      </w:tr>
      <w:tr w14:paraId="77E14F1B">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CA8D3EA">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46</w:t>
            </w:r>
          </w:p>
        </w:tc>
        <w:tc>
          <w:tcPr>
            <w:tcW w:w="3130" w:type="dxa"/>
            <w:tcBorders>
              <w:top w:val="nil"/>
              <w:left w:val="nil"/>
              <w:bottom w:val="single" w:color="000000" w:sz="8" w:space="0"/>
              <w:right w:val="single" w:color="000000" w:sz="8" w:space="0"/>
            </w:tcBorders>
            <w:shd w:val="clear" w:color="auto" w:fill="auto"/>
            <w:vAlign w:val="center"/>
          </w:tcPr>
          <w:p w14:paraId="3B25237A">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银行间或银行与其他金融机构间通过协议相互持有的其他一级资本</w:t>
            </w:r>
          </w:p>
        </w:tc>
        <w:tc>
          <w:tcPr>
            <w:tcW w:w="2310" w:type="dxa"/>
            <w:tcBorders>
              <w:top w:val="nil"/>
              <w:left w:val="nil"/>
              <w:bottom w:val="single" w:color="000000" w:sz="8" w:space="0"/>
              <w:right w:val="nil"/>
            </w:tcBorders>
            <w:shd w:val="clear" w:color="auto" w:fill="auto"/>
            <w:vAlign w:val="center"/>
          </w:tcPr>
          <w:p w14:paraId="79FEBF8D">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7F04F909">
            <w:pPr>
              <w:widowControl/>
              <w:jc w:val="right"/>
              <w:rPr>
                <w:rFonts w:ascii="微软雅黑" w:hAnsi="微软雅黑" w:eastAsia="微软雅黑" w:cs="Arial"/>
                <w:color w:val="000000"/>
                <w:kern w:val="0"/>
                <w:sz w:val="18"/>
                <w:szCs w:val="18"/>
              </w:rPr>
            </w:pPr>
          </w:p>
        </w:tc>
      </w:tr>
      <w:tr w14:paraId="55BAD0DB">
        <w:tblPrEx>
          <w:tblCellMar>
            <w:top w:w="0" w:type="dxa"/>
            <w:left w:w="108" w:type="dxa"/>
            <w:bottom w:w="0" w:type="dxa"/>
            <w:right w:w="108" w:type="dxa"/>
          </w:tblCellMar>
        </w:tblPrEx>
        <w:trPr>
          <w:trHeight w:val="79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387BDD1">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47</w:t>
            </w:r>
          </w:p>
        </w:tc>
        <w:tc>
          <w:tcPr>
            <w:tcW w:w="3130" w:type="dxa"/>
            <w:tcBorders>
              <w:top w:val="nil"/>
              <w:left w:val="nil"/>
              <w:bottom w:val="single" w:color="000000" w:sz="8" w:space="0"/>
              <w:right w:val="single" w:color="000000" w:sz="8" w:space="0"/>
            </w:tcBorders>
            <w:shd w:val="clear" w:color="auto" w:fill="auto"/>
            <w:vAlign w:val="center"/>
          </w:tcPr>
          <w:p w14:paraId="0F4BF2CA">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对未并表金融机构小额少数资本投资中的二级资本中应扣除金额</w:t>
            </w:r>
          </w:p>
        </w:tc>
        <w:tc>
          <w:tcPr>
            <w:tcW w:w="2310" w:type="dxa"/>
            <w:tcBorders>
              <w:top w:val="nil"/>
              <w:left w:val="nil"/>
              <w:bottom w:val="single" w:color="000000" w:sz="8" w:space="0"/>
              <w:right w:val="nil"/>
            </w:tcBorders>
            <w:shd w:val="clear" w:color="auto" w:fill="auto"/>
            <w:vAlign w:val="center"/>
          </w:tcPr>
          <w:p w14:paraId="420879FF">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492FC63">
            <w:pPr>
              <w:widowControl/>
              <w:jc w:val="right"/>
              <w:rPr>
                <w:rFonts w:ascii="微软雅黑" w:hAnsi="微软雅黑" w:eastAsia="微软雅黑" w:cs="Arial"/>
                <w:color w:val="000000"/>
                <w:kern w:val="0"/>
                <w:sz w:val="18"/>
                <w:szCs w:val="18"/>
              </w:rPr>
            </w:pPr>
          </w:p>
        </w:tc>
      </w:tr>
      <w:tr w14:paraId="38888ABC">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E90F84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48</w:t>
            </w:r>
          </w:p>
        </w:tc>
        <w:tc>
          <w:tcPr>
            <w:tcW w:w="3130" w:type="dxa"/>
            <w:tcBorders>
              <w:top w:val="nil"/>
              <w:left w:val="nil"/>
              <w:bottom w:val="single" w:color="000000" w:sz="8" w:space="0"/>
              <w:right w:val="single" w:color="000000" w:sz="8" w:space="0"/>
            </w:tcBorders>
            <w:shd w:val="clear" w:color="auto" w:fill="auto"/>
            <w:vAlign w:val="center"/>
          </w:tcPr>
          <w:p w14:paraId="615DC53E">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对未并表金融机构大额少数资本投资中的二级资本</w:t>
            </w:r>
          </w:p>
        </w:tc>
        <w:tc>
          <w:tcPr>
            <w:tcW w:w="2310" w:type="dxa"/>
            <w:tcBorders>
              <w:top w:val="nil"/>
              <w:left w:val="nil"/>
              <w:bottom w:val="single" w:color="000000" w:sz="8" w:space="0"/>
              <w:right w:val="nil"/>
            </w:tcBorders>
            <w:shd w:val="clear" w:color="auto" w:fill="auto"/>
            <w:vAlign w:val="center"/>
          </w:tcPr>
          <w:p w14:paraId="0214F394">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BF50EDB">
            <w:pPr>
              <w:widowControl/>
              <w:jc w:val="right"/>
              <w:rPr>
                <w:rFonts w:ascii="微软雅黑" w:hAnsi="微软雅黑" w:eastAsia="微软雅黑" w:cs="Arial"/>
                <w:color w:val="000000"/>
                <w:kern w:val="0"/>
                <w:sz w:val="18"/>
                <w:szCs w:val="18"/>
              </w:rPr>
            </w:pPr>
          </w:p>
        </w:tc>
      </w:tr>
      <w:tr w14:paraId="11ACAA8C">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304ACCB">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49</w:t>
            </w:r>
          </w:p>
        </w:tc>
        <w:tc>
          <w:tcPr>
            <w:tcW w:w="3130" w:type="dxa"/>
            <w:tcBorders>
              <w:top w:val="nil"/>
              <w:left w:val="nil"/>
              <w:bottom w:val="single" w:color="000000" w:sz="8" w:space="0"/>
              <w:right w:val="single" w:color="000000" w:sz="8" w:space="0"/>
            </w:tcBorders>
            <w:shd w:val="clear" w:color="auto" w:fill="auto"/>
            <w:vAlign w:val="center"/>
          </w:tcPr>
          <w:p w14:paraId="2459383D">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其他应在二级资本中扣除的项目合计</w:t>
            </w:r>
          </w:p>
        </w:tc>
        <w:tc>
          <w:tcPr>
            <w:tcW w:w="2310" w:type="dxa"/>
            <w:tcBorders>
              <w:top w:val="nil"/>
              <w:left w:val="nil"/>
              <w:bottom w:val="single" w:color="000000" w:sz="8" w:space="0"/>
              <w:right w:val="nil"/>
            </w:tcBorders>
            <w:shd w:val="clear" w:color="auto" w:fill="auto"/>
            <w:vAlign w:val="center"/>
          </w:tcPr>
          <w:p w14:paraId="03E996CD">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6F167A3">
            <w:pPr>
              <w:widowControl/>
              <w:jc w:val="right"/>
              <w:rPr>
                <w:rFonts w:ascii="微软雅黑" w:hAnsi="微软雅黑" w:eastAsia="微软雅黑" w:cs="Arial"/>
                <w:color w:val="000000"/>
                <w:kern w:val="0"/>
                <w:sz w:val="18"/>
                <w:szCs w:val="18"/>
              </w:rPr>
            </w:pPr>
          </w:p>
        </w:tc>
      </w:tr>
      <w:tr w14:paraId="1B71D30A">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49DC64A">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50</w:t>
            </w:r>
          </w:p>
        </w:tc>
        <w:tc>
          <w:tcPr>
            <w:tcW w:w="3130" w:type="dxa"/>
            <w:tcBorders>
              <w:top w:val="nil"/>
              <w:left w:val="nil"/>
              <w:bottom w:val="single" w:color="000000" w:sz="8" w:space="0"/>
              <w:right w:val="single" w:color="000000" w:sz="8" w:space="0"/>
            </w:tcBorders>
            <w:shd w:val="clear" w:color="auto" w:fill="auto"/>
            <w:vAlign w:val="center"/>
          </w:tcPr>
          <w:p w14:paraId="1F45E440">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二级资本扣除项总和</w:t>
            </w:r>
          </w:p>
        </w:tc>
        <w:tc>
          <w:tcPr>
            <w:tcW w:w="2310" w:type="dxa"/>
            <w:tcBorders>
              <w:top w:val="nil"/>
              <w:left w:val="nil"/>
              <w:bottom w:val="single" w:color="000000" w:sz="8" w:space="0"/>
              <w:right w:val="nil"/>
            </w:tcBorders>
            <w:shd w:val="clear" w:color="auto" w:fill="auto"/>
            <w:vAlign w:val="center"/>
          </w:tcPr>
          <w:p w14:paraId="5F8E8F7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0.00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B7563DA">
            <w:pPr>
              <w:widowControl/>
              <w:jc w:val="right"/>
              <w:rPr>
                <w:rFonts w:ascii="微软雅黑" w:hAnsi="微软雅黑" w:eastAsia="微软雅黑" w:cs="Arial"/>
                <w:color w:val="000000"/>
                <w:kern w:val="0"/>
                <w:sz w:val="18"/>
                <w:szCs w:val="18"/>
              </w:rPr>
            </w:pPr>
          </w:p>
        </w:tc>
      </w:tr>
      <w:tr w14:paraId="0598C9D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8A7F28D">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51</w:t>
            </w:r>
          </w:p>
        </w:tc>
        <w:tc>
          <w:tcPr>
            <w:tcW w:w="3130" w:type="dxa"/>
            <w:tcBorders>
              <w:top w:val="nil"/>
              <w:left w:val="nil"/>
              <w:bottom w:val="single" w:color="000000" w:sz="8" w:space="0"/>
              <w:right w:val="single" w:color="000000" w:sz="8" w:space="0"/>
            </w:tcBorders>
            <w:shd w:val="clear" w:color="auto" w:fill="auto"/>
            <w:vAlign w:val="center"/>
          </w:tcPr>
          <w:p w14:paraId="01632907">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二级资本净额</w:t>
            </w:r>
          </w:p>
        </w:tc>
        <w:tc>
          <w:tcPr>
            <w:tcW w:w="2310" w:type="dxa"/>
            <w:tcBorders>
              <w:top w:val="nil"/>
              <w:left w:val="nil"/>
              <w:bottom w:val="single" w:color="000000" w:sz="8" w:space="0"/>
              <w:right w:val="nil"/>
            </w:tcBorders>
            <w:shd w:val="clear" w:color="auto" w:fill="auto"/>
            <w:vAlign w:val="center"/>
          </w:tcPr>
          <w:p w14:paraId="2EF4CE44">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5.10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CA9B094">
            <w:pPr>
              <w:widowControl/>
              <w:jc w:val="right"/>
              <w:rPr>
                <w:rFonts w:ascii="微软雅黑" w:hAnsi="微软雅黑" w:eastAsia="微软雅黑" w:cs="Arial"/>
                <w:color w:val="000000"/>
                <w:kern w:val="0"/>
                <w:sz w:val="18"/>
                <w:szCs w:val="18"/>
              </w:rPr>
            </w:pPr>
          </w:p>
        </w:tc>
      </w:tr>
      <w:tr w14:paraId="042BA2E0">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96DFF4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52</w:t>
            </w:r>
          </w:p>
        </w:tc>
        <w:tc>
          <w:tcPr>
            <w:tcW w:w="3130" w:type="dxa"/>
            <w:tcBorders>
              <w:top w:val="nil"/>
              <w:left w:val="nil"/>
              <w:bottom w:val="single" w:color="000000" w:sz="8" w:space="0"/>
              <w:right w:val="single" w:color="000000" w:sz="8" w:space="0"/>
            </w:tcBorders>
            <w:shd w:val="clear" w:color="auto" w:fill="auto"/>
            <w:vAlign w:val="center"/>
          </w:tcPr>
          <w:p w14:paraId="5626A69D">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总资本净额</w:t>
            </w:r>
          </w:p>
        </w:tc>
        <w:tc>
          <w:tcPr>
            <w:tcW w:w="2310" w:type="dxa"/>
            <w:tcBorders>
              <w:top w:val="nil"/>
              <w:left w:val="nil"/>
              <w:bottom w:val="single" w:color="000000" w:sz="8" w:space="0"/>
              <w:right w:val="nil"/>
            </w:tcBorders>
            <w:shd w:val="clear" w:color="auto" w:fill="auto"/>
            <w:vAlign w:val="center"/>
          </w:tcPr>
          <w:p w14:paraId="1F71CE1B">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63.73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0B68EB5">
            <w:pPr>
              <w:widowControl/>
              <w:jc w:val="right"/>
              <w:rPr>
                <w:rFonts w:ascii="微软雅黑" w:hAnsi="微软雅黑" w:eastAsia="微软雅黑" w:cs="Arial"/>
                <w:color w:val="000000"/>
                <w:kern w:val="0"/>
                <w:sz w:val="18"/>
                <w:szCs w:val="18"/>
              </w:rPr>
            </w:pPr>
          </w:p>
        </w:tc>
      </w:tr>
      <w:tr w14:paraId="66AA573B">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730C0CA">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53</w:t>
            </w:r>
          </w:p>
        </w:tc>
        <w:tc>
          <w:tcPr>
            <w:tcW w:w="3130" w:type="dxa"/>
            <w:tcBorders>
              <w:top w:val="nil"/>
              <w:left w:val="nil"/>
              <w:bottom w:val="single" w:color="000000" w:sz="8" w:space="0"/>
              <w:right w:val="single" w:color="000000" w:sz="8" w:space="0"/>
            </w:tcBorders>
            <w:shd w:val="clear" w:color="auto" w:fill="auto"/>
            <w:vAlign w:val="center"/>
          </w:tcPr>
          <w:p w14:paraId="3F80BA15">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风险加权资产</w:t>
            </w:r>
          </w:p>
        </w:tc>
        <w:tc>
          <w:tcPr>
            <w:tcW w:w="2310" w:type="dxa"/>
            <w:tcBorders>
              <w:top w:val="nil"/>
              <w:left w:val="nil"/>
              <w:bottom w:val="single" w:color="000000" w:sz="8" w:space="0"/>
              <w:right w:val="nil"/>
            </w:tcBorders>
            <w:shd w:val="clear" w:color="auto" w:fill="auto"/>
            <w:vAlign w:val="center"/>
          </w:tcPr>
          <w:p w14:paraId="233FB19A">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418.42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58B4AFAE">
            <w:pPr>
              <w:widowControl/>
              <w:jc w:val="right"/>
              <w:rPr>
                <w:rFonts w:ascii="微软雅黑" w:hAnsi="微软雅黑" w:eastAsia="微软雅黑" w:cs="Arial"/>
                <w:color w:val="000000"/>
                <w:kern w:val="0"/>
                <w:sz w:val="18"/>
                <w:szCs w:val="18"/>
              </w:rPr>
            </w:pPr>
          </w:p>
        </w:tc>
      </w:tr>
      <w:tr w14:paraId="2E189F25">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23FC528F">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资本充足率和其他各级资本要求</w:t>
            </w:r>
          </w:p>
        </w:tc>
        <w:tc>
          <w:tcPr>
            <w:tcW w:w="1550" w:type="dxa"/>
            <w:tcBorders>
              <w:top w:val="nil"/>
              <w:left w:val="nil"/>
              <w:bottom w:val="nil"/>
              <w:right w:val="single" w:color="auto" w:sz="4" w:space="0"/>
            </w:tcBorders>
            <w:shd w:val="clear" w:color="auto" w:fill="auto"/>
            <w:noWrap/>
            <w:vAlign w:val="center"/>
          </w:tcPr>
          <w:p w14:paraId="42445F5E">
            <w:pPr>
              <w:widowControl/>
              <w:jc w:val="center"/>
              <w:rPr>
                <w:rFonts w:ascii="微软雅黑" w:hAnsi="微软雅黑" w:eastAsia="微软雅黑" w:cs="Arial"/>
                <w:b/>
                <w:bCs/>
                <w:color w:val="000000"/>
                <w:kern w:val="0"/>
                <w:sz w:val="18"/>
                <w:szCs w:val="18"/>
              </w:rPr>
            </w:pPr>
          </w:p>
        </w:tc>
      </w:tr>
      <w:tr w14:paraId="789B1B3D">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79EFC2F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54</w:t>
            </w:r>
          </w:p>
        </w:tc>
        <w:tc>
          <w:tcPr>
            <w:tcW w:w="3130" w:type="dxa"/>
            <w:tcBorders>
              <w:top w:val="nil"/>
              <w:left w:val="nil"/>
              <w:bottom w:val="single" w:color="000000" w:sz="8" w:space="0"/>
              <w:right w:val="single" w:color="000000" w:sz="8" w:space="0"/>
            </w:tcBorders>
            <w:shd w:val="clear" w:color="auto" w:fill="auto"/>
            <w:vAlign w:val="center"/>
          </w:tcPr>
          <w:p w14:paraId="343979D6">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核心一级资本充足率</w:t>
            </w:r>
          </w:p>
        </w:tc>
        <w:tc>
          <w:tcPr>
            <w:tcW w:w="2310" w:type="dxa"/>
            <w:tcBorders>
              <w:top w:val="nil"/>
              <w:left w:val="nil"/>
              <w:bottom w:val="single" w:color="000000" w:sz="8" w:space="0"/>
              <w:right w:val="nil"/>
            </w:tcBorders>
            <w:shd w:val="clear" w:color="auto" w:fill="auto"/>
            <w:vAlign w:val="center"/>
          </w:tcPr>
          <w:p w14:paraId="5534FC62">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14.01%</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5DC875E4">
            <w:pPr>
              <w:widowControl/>
              <w:jc w:val="right"/>
              <w:rPr>
                <w:rFonts w:ascii="微软雅黑" w:hAnsi="微软雅黑" w:eastAsia="微软雅黑" w:cs="Arial"/>
                <w:color w:val="000000"/>
                <w:kern w:val="0"/>
                <w:sz w:val="18"/>
                <w:szCs w:val="18"/>
              </w:rPr>
            </w:pPr>
          </w:p>
        </w:tc>
      </w:tr>
      <w:tr w14:paraId="384A0ACC">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952B75F">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55</w:t>
            </w:r>
          </w:p>
        </w:tc>
        <w:tc>
          <w:tcPr>
            <w:tcW w:w="3130" w:type="dxa"/>
            <w:tcBorders>
              <w:top w:val="nil"/>
              <w:left w:val="nil"/>
              <w:bottom w:val="single" w:color="000000" w:sz="8" w:space="0"/>
              <w:right w:val="single" w:color="000000" w:sz="8" w:space="0"/>
            </w:tcBorders>
            <w:shd w:val="clear" w:color="auto" w:fill="auto"/>
            <w:vAlign w:val="center"/>
          </w:tcPr>
          <w:p w14:paraId="1796581A">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一级资本充足率</w:t>
            </w:r>
          </w:p>
        </w:tc>
        <w:tc>
          <w:tcPr>
            <w:tcW w:w="2310" w:type="dxa"/>
            <w:tcBorders>
              <w:top w:val="nil"/>
              <w:left w:val="nil"/>
              <w:bottom w:val="single" w:color="000000" w:sz="8" w:space="0"/>
              <w:right w:val="nil"/>
            </w:tcBorders>
            <w:shd w:val="clear" w:color="auto" w:fill="auto"/>
            <w:vAlign w:val="center"/>
          </w:tcPr>
          <w:p w14:paraId="7DF8F9FC">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14.01%</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5DAA450D">
            <w:pPr>
              <w:widowControl/>
              <w:jc w:val="right"/>
              <w:rPr>
                <w:rFonts w:ascii="微软雅黑" w:hAnsi="微软雅黑" w:eastAsia="微软雅黑" w:cs="Arial"/>
                <w:color w:val="000000"/>
                <w:kern w:val="0"/>
                <w:sz w:val="18"/>
                <w:szCs w:val="18"/>
              </w:rPr>
            </w:pPr>
          </w:p>
        </w:tc>
      </w:tr>
      <w:tr w14:paraId="6ED1B34A">
        <w:tblPrEx>
          <w:tblCellMar>
            <w:top w:w="0" w:type="dxa"/>
            <w:left w:w="108" w:type="dxa"/>
            <w:bottom w:w="0" w:type="dxa"/>
            <w:right w:w="108" w:type="dxa"/>
          </w:tblCellMar>
        </w:tblPrEx>
        <w:trPr>
          <w:trHeight w:val="28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39CADCB">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56</w:t>
            </w:r>
          </w:p>
        </w:tc>
        <w:tc>
          <w:tcPr>
            <w:tcW w:w="3130" w:type="dxa"/>
            <w:tcBorders>
              <w:top w:val="nil"/>
              <w:left w:val="nil"/>
              <w:bottom w:val="single" w:color="000000" w:sz="8" w:space="0"/>
              <w:right w:val="single" w:color="000000" w:sz="8" w:space="0"/>
            </w:tcBorders>
            <w:shd w:val="clear" w:color="auto" w:fill="auto"/>
            <w:vAlign w:val="center"/>
          </w:tcPr>
          <w:p w14:paraId="10688DCD">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资本充足率</w:t>
            </w:r>
          </w:p>
        </w:tc>
        <w:tc>
          <w:tcPr>
            <w:tcW w:w="2310" w:type="dxa"/>
            <w:tcBorders>
              <w:top w:val="nil"/>
              <w:left w:val="nil"/>
              <w:bottom w:val="single" w:color="000000" w:sz="8" w:space="0"/>
              <w:right w:val="nil"/>
            </w:tcBorders>
            <w:shd w:val="clear" w:color="auto" w:fill="auto"/>
            <w:vAlign w:val="center"/>
          </w:tcPr>
          <w:p w14:paraId="27291046">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15.23%</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2BD3C61">
            <w:pPr>
              <w:widowControl/>
              <w:jc w:val="right"/>
              <w:rPr>
                <w:rFonts w:ascii="微软雅黑" w:hAnsi="微软雅黑" w:eastAsia="微软雅黑" w:cs="Arial"/>
                <w:color w:val="000000"/>
                <w:kern w:val="0"/>
                <w:sz w:val="18"/>
                <w:szCs w:val="18"/>
              </w:rPr>
            </w:pPr>
          </w:p>
        </w:tc>
      </w:tr>
      <w:tr w14:paraId="3DC85473">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E731CA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57</w:t>
            </w:r>
          </w:p>
        </w:tc>
        <w:tc>
          <w:tcPr>
            <w:tcW w:w="3130" w:type="dxa"/>
            <w:tcBorders>
              <w:top w:val="nil"/>
              <w:left w:val="nil"/>
              <w:bottom w:val="single" w:color="000000" w:sz="8" w:space="0"/>
              <w:right w:val="single" w:color="000000" w:sz="8" w:space="0"/>
            </w:tcBorders>
            <w:shd w:val="clear" w:color="auto" w:fill="auto"/>
            <w:vAlign w:val="center"/>
          </w:tcPr>
          <w:p w14:paraId="120F16C5">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其他各级资本要求（%）</w:t>
            </w:r>
          </w:p>
        </w:tc>
        <w:tc>
          <w:tcPr>
            <w:tcW w:w="2310" w:type="dxa"/>
            <w:tcBorders>
              <w:top w:val="nil"/>
              <w:left w:val="nil"/>
              <w:bottom w:val="single" w:color="000000" w:sz="8" w:space="0"/>
              <w:right w:val="nil"/>
            </w:tcBorders>
            <w:shd w:val="clear" w:color="auto" w:fill="auto"/>
            <w:vAlign w:val="center"/>
          </w:tcPr>
          <w:p w14:paraId="644A95D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2.50%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031868B4">
            <w:pPr>
              <w:widowControl/>
              <w:jc w:val="right"/>
              <w:rPr>
                <w:rFonts w:ascii="微软雅黑" w:hAnsi="微软雅黑" w:eastAsia="微软雅黑" w:cs="Arial"/>
                <w:color w:val="000000"/>
                <w:kern w:val="0"/>
                <w:sz w:val="18"/>
                <w:szCs w:val="18"/>
              </w:rPr>
            </w:pPr>
          </w:p>
        </w:tc>
      </w:tr>
      <w:tr w14:paraId="40CAE2B6">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8FFA3C9">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58</w:t>
            </w:r>
          </w:p>
        </w:tc>
        <w:tc>
          <w:tcPr>
            <w:tcW w:w="3130" w:type="dxa"/>
            <w:tcBorders>
              <w:top w:val="nil"/>
              <w:left w:val="nil"/>
              <w:bottom w:val="single" w:color="000000" w:sz="8" w:space="0"/>
              <w:right w:val="single" w:color="000000" w:sz="8" w:space="0"/>
            </w:tcBorders>
            <w:shd w:val="clear" w:color="auto" w:fill="auto"/>
            <w:vAlign w:val="center"/>
          </w:tcPr>
          <w:p w14:paraId="575473E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其中：储备资本要求</w:t>
            </w:r>
          </w:p>
        </w:tc>
        <w:tc>
          <w:tcPr>
            <w:tcW w:w="2310" w:type="dxa"/>
            <w:tcBorders>
              <w:top w:val="nil"/>
              <w:left w:val="nil"/>
              <w:bottom w:val="single" w:color="000000" w:sz="8" w:space="0"/>
              <w:right w:val="nil"/>
            </w:tcBorders>
            <w:shd w:val="clear" w:color="auto" w:fill="auto"/>
            <w:vAlign w:val="center"/>
          </w:tcPr>
          <w:p w14:paraId="7634D583">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2.50%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07C158CF">
            <w:pPr>
              <w:widowControl/>
              <w:jc w:val="right"/>
              <w:rPr>
                <w:rFonts w:ascii="微软雅黑" w:hAnsi="微软雅黑" w:eastAsia="微软雅黑" w:cs="Arial"/>
                <w:color w:val="000000"/>
                <w:kern w:val="0"/>
                <w:sz w:val="18"/>
                <w:szCs w:val="18"/>
              </w:rPr>
            </w:pPr>
          </w:p>
        </w:tc>
      </w:tr>
      <w:tr w14:paraId="7F37D87C">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5AEAD5F">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59</w:t>
            </w:r>
          </w:p>
        </w:tc>
        <w:tc>
          <w:tcPr>
            <w:tcW w:w="3130" w:type="dxa"/>
            <w:tcBorders>
              <w:top w:val="nil"/>
              <w:left w:val="nil"/>
              <w:bottom w:val="single" w:color="000000" w:sz="8" w:space="0"/>
              <w:right w:val="single" w:color="000000" w:sz="8" w:space="0"/>
            </w:tcBorders>
            <w:shd w:val="clear" w:color="auto" w:fill="auto"/>
            <w:vAlign w:val="center"/>
          </w:tcPr>
          <w:p w14:paraId="6B9DB02A">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其中：逆周期资本要求</w:t>
            </w:r>
          </w:p>
        </w:tc>
        <w:tc>
          <w:tcPr>
            <w:tcW w:w="2310" w:type="dxa"/>
            <w:tcBorders>
              <w:top w:val="nil"/>
              <w:left w:val="nil"/>
              <w:bottom w:val="single" w:color="000000" w:sz="8" w:space="0"/>
              <w:right w:val="nil"/>
            </w:tcBorders>
            <w:shd w:val="clear" w:color="auto" w:fill="auto"/>
            <w:vAlign w:val="center"/>
          </w:tcPr>
          <w:p w14:paraId="2C4AC40E">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4C0873D8">
            <w:pPr>
              <w:widowControl/>
              <w:jc w:val="left"/>
              <w:rPr>
                <w:rFonts w:ascii="微软雅黑" w:hAnsi="微软雅黑" w:eastAsia="微软雅黑" w:cs="Arial"/>
                <w:color w:val="000000"/>
                <w:kern w:val="0"/>
                <w:sz w:val="18"/>
                <w:szCs w:val="18"/>
              </w:rPr>
            </w:pPr>
          </w:p>
        </w:tc>
      </w:tr>
      <w:tr w14:paraId="306D050F">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1DBE149">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60</w:t>
            </w:r>
          </w:p>
        </w:tc>
        <w:tc>
          <w:tcPr>
            <w:tcW w:w="3130" w:type="dxa"/>
            <w:tcBorders>
              <w:top w:val="nil"/>
              <w:left w:val="nil"/>
              <w:bottom w:val="single" w:color="000000" w:sz="8" w:space="0"/>
              <w:right w:val="single" w:color="000000" w:sz="8" w:space="0"/>
            </w:tcBorders>
            <w:shd w:val="clear" w:color="auto" w:fill="auto"/>
            <w:vAlign w:val="center"/>
          </w:tcPr>
          <w:p w14:paraId="00EE3561">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    其中：全球系统重要性银行或国内系统重要性银行附加资本要求</w:t>
            </w:r>
          </w:p>
        </w:tc>
        <w:tc>
          <w:tcPr>
            <w:tcW w:w="2310" w:type="dxa"/>
            <w:tcBorders>
              <w:top w:val="nil"/>
              <w:left w:val="nil"/>
              <w:bottom w:val="single" w:color="000000" w:sz="8" w:space="0"/>
              <w:right w:val="nil"/>
            </w:tcBorders>
            <w:shd w:val="clear" w:color="auto" w:fill="auto"/>
            <w:vAlign w:val="center"/>
          </w:tcPr>
          <w:p w14:paraId="049BDBAB">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0175709">
            <w:pPr>
              <w:widowControl/>
              <w:jc w:val="left"/>
              <w:rPr>
                <w:rFonts w:ascii="微软雅黑" w:hAnsi="微软雅黑" w:eastAsia="微软雅黑" w:cs="Arial"/>
                <w:color w:val="000000"/>
                <w:kern w:val="0"/>
                <w:sz w:val="18"/>
                <w:szCs w:val="18"/>
              </w:rPr>
            </w:pPr>
          </w:p>
        </w:tc>
      </w:tr>
      <w:tr w14:paraId="60C37C83">
        <w:tblPrEx>
          <w:tblCellMar>
            <w:top w:w="0" w:type="dxa"/>
            <w:left w:w="108" w:type="dxa"/>
            <w:bottom w:w="0" w:type="dxa"/>
            <w:right w:w="108" w:type="dxa"/>
          </w:tblCellMar>
        </w:tblPrEx>
        <w:trPr>
          <w:trHeight w:val="79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2810968A">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61</w:t>
            </w:r>
          </w:p>
        </w:tc>
        <w:tc>
          <w:tcPr>
            <w:tcW w:w="3130" w:type="dxa"/>
            <w:tcBorders>
              <w:top w:val="nil"/>
              <w:left w:val="nil"/>
              <w:bottom w:val="single" w:color="000000" w:sz="8" w:space="0"/>
              <w:right w:val="single" w:color="000000" w:sz="8" w:space="0"/>
            </w:tcBorders>
            <w:shd w:val="clear" w:color="auto" w:fill="auto"/>
            <w:vAlign w:val="center"/>
          </w:tcPr>
          <w:p w14:paraId="36C1EB3F">
            <w:pPr>
              <w:widowControl/>
              <w:jc w:val="left"/>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满足最低资本要求后的可用核心一级资本净额占风险加权资产的比例（%）</w:t>
            </w:r>
          </w:p>
        </w:tc>
        <w:tc>
          <w:tcPr>
            <w:tcW w:w="2310" w:type="dxa"/>
            <w:tcBorders>
              <w:top w:val="nil"/>
              <w:left w:val="nil"/>
              <w:bottom w:val="single" w:color="000000" w:sz="8" w:space="0"/>
              <w:right w:val="nil"/>
            </w:tcBorders>
            <w:shd w:val="clear" w:color="auto" w:fill="auto"/>
            <w:vAlign w:val="center"/>
          </w:tcPr>
          <w:p w14:paraId="777CC877">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7.23%</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3C79110E">
            <w:pPr>
              <w:widowControl/>
              <w:jc w:val="right"/>
              <w:rPr>
                <w:rFonts w:ascii="微软雅黑" w:hAnsi="微软雅黑" w:eastAsia="微软雅黑" w:cs="Arial"/>
                <w:color w:val="000000"/>
                <w:kern w:val="0"/>
                <w:sz w:val="18"/>
                <w:szCs w:val="18"/>
              </w:rPr>
            </w:pPr>
          </w:p>
        </w:tc>
      </w:tr>
      <w:tr w14:paraId="02A6177B">
        <w:tblPrEx>
          <w:tblCellMar>
            <w:top w:w="0" w:type="dxa"/>
            <w:left w:w="108" w:type="dxa"/>
            <w:bottom w:w="0" w:type="dxa"/>
            <w:right w:w="108" w:type="dxa"/>
          </w:tblCellMar>
        </w:tblPrEx>
        <w:trPr>
          <w:trHeight w:val="795" w:hRule="atLeast"/>
        </w:trPr>
        <w:tc>
          <w:tcPr>
            <w:tcW w:w="6040" w:type="dxa"/>
            <w:gridSpan w:val="3"/>
            <w:tcBorders>
              <w:top w:val="nil"/>
              <w:left w:val="single" w:color="auto" w:sz="4" w:space="0"/>
              <w:bottom w:val="single" w:color="000000" w:sz="8" w:space="0"/>
              <w:right w:val="nil"/>
            </w:tcBorders>
            <w:shd w:val="clear" w:color="auto" w:fill="auto"/>
            <w:vAlign w:val="center"/>
          </w:tcPr>
          <w:p w14:paraId="49EEEDBF">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我国最低监管资本要求</w:t>
            </w:r>
          </w:p>
        </w:tc>
        <w:tc>
          <w:tcPr>
            <w:tcW w:w="1550" w:type="dxa"/>
            <w:tcBorders>
              <w:top w:val="nil"/>
              <w:left w:val="nil"/>
              <w:bottom w:val="nil"/>
              <w:right w:val="single" w:color="auto" w:sz="4" w:space="0"/>
            </w:tcBorders>
            <w:shd w:val="clear" w:color="auto" w:fill="auto"/>
            <w:noWrap/>
            <w:vAlign w:val="center"/>
          </w:tcPr>
          <w:p w14:paraId="5EDE2BBC">
            <w:pPr>
              <w:widowControl/>
              <w:jc w:val="center"/>
              <w:rPr>
                <w:rFonts w:ascii="微软雅黑" w:hAnsi="微软雅黑" w:eastAsia="微软雅黑" w:cs="Arial"/>
                <w:b/>
                <w:bCs/>
                <w:color w:val="000000"/>
                <w:kern w:val="0"/>
                <w:sz w:val="18"/>
                <w:szCs w:val="18"/>
              </w:rPr>
            </w:pPr>
          </w:p>
        </w:tc>
      </w:tr>
      <w:tr w14:paraId="4A5B2348">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10A86C4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62</w:t>
            </w:r>
          </w:p>
        </w:tc>
        <w:tc>
          <w:tcPr>
            <w:tcW w:w="3130" w:type="dxa"/>
            <w:tcBorders>
              <w:top w:val="nil"/>
              <w:left w:val="nil"/>
              <w:bottom w:val="single" w:color="000000" w:sz="8" w:space="0"/>
              <w:right w:val="single" w:color="000000" w:sz="8" w:space="0"/>
            </w:tcBorders>
            <w:shd w:val="clear" w:color="auto" w:fill="auto"/>
            <w:vAlign w:val="center"/>
          </w:tcPr>
          <w:p w14:paraId="73D5F6B6">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核心一级资本充足率</w:t>
            </w:r>
          </w:p>
        </w:tc>
        <w:tc>
          <w:tcPr>
            <w:tcW w:w="2310" w:type="dxa"/>
            <w:tcBorders>
              <w:top w:val="nil"/>
              <w:left w:val="nil"/>
              <w:bottom w:val="single" w:color="000000" w:sz="8" w:space="0"/>
              <w:right w:val="single" w:color="000000" w:sz="8" w:space="0"/>
            </w:tcBorders>
            <w:shd w:val="clear" w:color="auto" w:fill="auto"/>
            <w:vAlign w:val="center"/>
          </w:tcPr>
          <w:p w14:paraId="6F010179">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lang w:val="en-US" w:eastAsia="zh-CN"/>
              </w:rPr>
              <w:t>5</w:t>
            </w:r>
            <w:r>
              <w:rPr>
                <w:rFonts w:hint="eastAsia" w:ascii="微软雅黑" w:hAnsi="微软雅黑" w:eastAsia="微软雅黑" w:cs="Arial"/>
                <w:color w:val="000000"/>
                <w:kern w:val="0"/>
                <w:sz w:val="18"/>
                <w:szCs w:val="18"/>
              </w:rPr>
              <w:t>.00%</w:t>
            </w:r>
          </w:p>
        </w:tc>
        <w:tc>
          <w:tcPr>
            <w:tcW w:w="1550" w:type="dxa"/>
            <w:tcBorders>
              <w:top w:val="single" w:color="000000" w:sz="4" w:space="0"/>
              <w:left w:val="nil"/>
              <w:bottom w:val="single" w:color="000000" w:sz="8" w:space="0"/>
              <w:right w:val="single" w:color="auto" w:sz="4" w:space="0"/>
            </w:tcBorders>
            <w:shd w:val="clear" w:color="auto" w:fill="auto"/>
            <w:vAlign w:val="center"/>
          </w:tcPr>
          <w:p w14:paraId="47E9E7E5">
            <w:pPr>
              <w:widowControl/>
              <w:jc w:val="right"/>
              <w:rPr>
                <w:rFonts w:ascii="微软雅黑" w:hAnsi="微软雅黑" w:eastAsia="微软雅黑" w:cs="Arial"/>
                <w:color w:val="000000"/>
                <w:kern w:val="0"/>
                <w:sz w:val="18"/>
                <w:szCs w:val="18"/>
              </w:rPr>
            </w:pPr>
          </w:p>
        </w:tc>
      </w:tr>
      <w:tr w14:paraId="040505D9">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B6825E0">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63</w:t>
            </w:r>
          </w:p>
        </w:tc>
        <w:tc>
          <w:tcPr>
            <w:tcW w:w="3130" w:type="dxa"/>
            <w:tcBorders>
              <w:top w:val="nil"/>
              <w:left w:val="nil"/>
              <w:bottom w:val="single" w:color="000000" w:sz="8" w:space="0"/>
              <w:right w:val="single" w:color="000000" w:sz="8" w:space="0"/>
            </w:tcBorders>
            <w:shd w:val="clear" w:color="auto" w:fill="auto"/>
            <w:vAlign w:val="center"/>
          </w:tcPr>
          <w:p w14:paraId="0C9D782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一级资本充足率</w:t>
            </w:r>
          </w:p>
        </w:tc>
        <w:tc>
          <w:tcPr>
            <w:tcW w:w="2310" w:type="dxa"/>
            <w:tcBorders>
              <w:top w:val="nil"/>
              <w:left w:val="nil"/>
              <w:bottom w:val="single" w:color="000000" w:sz="8" w:space="0"/>
              <w:right w:val="single" w:color="000000" w:sz="8" w:space="0"/>
            </w:tcBorders>
            <w:shd w:val="clear" w:color="auto" w:fill="auto"/>
            <w:vAlign w:val="center"/>
          </w:tcPr>
          <w:p w14:paraId="4D3368B2">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6.00%</w:t>
            </w:r>
          </w:p>
        </w:tc>
        <w:tc>
          <w:tcPr>
            <w:tcW w:w="1550" w:type="dxa"/>
            <w:tcBorders>
              <w:top w:val="nil"/>
              <w:left w:val="nil"/>
              <w:bottom w:val="single" w:color="000000" w:sz="8" w:space="0"/>
              <w:right w:val="single" w:color="auto" w:sz="4" w:space="0"/>
            </w:tcBorders>
            <w:shd w:val="clear" w:color="auto" w:fill="auto"/>
            <w:vAlign w:val="center"/>
          </w:tcPr>
          <w:p w14:paraId="738CCB44">
            <w:pPr>
              <w:widowControl/>
              <w:jc w:val="right"/>
              <w:rPr>
                <w:rFonts w:ascii="微软雅黑" w:hAnsi="微软雅黑" w:eastAsia="微软雅黑" w:cs="Arial"/>
                <w:color w:val="000000"/>
                <w:kern w:val="0"/>
                <w:sz w:val="18"/>
                <w:szCs w:val="18"/>
              </w:rPr>
            </w:pPr>
          </w:p>
        </w:tc>
      </w:tr>
      <w:tr w14:paraId="0DC653BA">
        <w:tblPrEx>
          <w:tblCellMar>
            <w:top w:w="0" w:type="dxa"/>
            <w:left w:w="108" w:type="dxa"/>
            <w:bottom w:w="0" w:type="dxa"/>
            <w:right w:w="108" w:type="dxa"/>
          </w:tblCellMar>
        </w:tblPrEx>
        <w:trPr>
          <w:trHeight w:val="27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D57B558">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64</w:t>
            </w:r>
          </w:p>
        </w:tc>
        <w:tc>
          <w:tcPr>
            <w:tcW w:w="3130" w:type="dxa"/>
            <w:tcBorders>
              <w:top w:val="nil"/>
              <w:left w:val="nil"/>
              <w:bottom w:val="single" w:color="000000" w:sz="8" w:space="0"/>
              <w:right w:val="single" w:color="000000" w:sz="8" w:space="0"/>
            </w:tcBorders>
            <w:shd w:val="clear" w:color="auto" w:fill="auto"/>
            <w:vAlign w:val="center"/>
          </w:tcPr>
          <w:p w14:paraId="73AE07F5">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资本充足率</w:t>
            </w:r>
          </w:p>
        </w:tc>
        <w:tc>
          <w:tcPr>
            <w:tcW w:w="2310" w:type="dxa"/>
            <w:tcBorders>
              <w:top w:val="nil"/>
              <w:left w:val="nil"/>
              <w:bottom w:val="single" w:color="000000" w:sz="8" w:space="0"/>
              <w:right w:val="single" w:color="000000" w:sz="8" w:space="0"/>
            </w:tcBorders>
            <w:shd w:val="clear" w:color="auto" w:fill="auto"/>
            <w:vAlign w:val="center"/>
          </w:tcPr>
          <w:p w14:paraId="5A3515E9">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lang w:val="en-US" w:eastAsia="zh-CN"/>
              </w:rPr>
              <w:t>8</w:t>
            </w:r>
            <w:r>
              <w:rPr>
                <w:rFonts w:hint="eastAsia" w:ascii="微软雅黑" w:hAnsi="微软雅黑" w:eastAsia="微软雅黑" w:cs="Arial"/>
                <w:color w:val="000000"/>
                <w:kern w:val="0"/>
                <w:sz w:val="18"/>
                <w:szCs w:val="18"/>
              </w:rPr>
              <w:t>.00%</w:t>
            </w:r>
          </w:p>
        </w:tc>
        <w:tc>
          <w:tcPr>
            <w:tcW w:w="1550" w:type="dxa"/>
            <w:tcBorders>
              <w:top w:val="nil"/>
              <w:left w:val="nil"/>
              <w:bottom w:val="single" w:color="000000" w:sz="8" w:space="0"/>
              <w:right w:val="single" w:color="auto" w:sz="4" w:space="0"/>
            </w:tcBorders>
            <w:shd w:val="clear" w:color="auto" w:fill="auto"/>
            <w:vAlign w:val="center"/>
          </w:tcPr>
          <w:p w14:paraId="6E58513E">
            <w:pPr>
              <w:widowControl/>
              <w:jc w:val="right"/>
              <w:rPr>
                <w:rFonts w:ascii="微软雅黑" w:hAnsi="微软雅黑" w:eastAsia="微软雅黑" w:cs="Arial"/>
                <w:color w:val="000000"/>
                <w:kern w:val="0"/>
                <w:sz w:val="18"/>
                <w:szCs w:val="18"/>
              </w:rPr>
            </w:pPr>
          </w:p>
        </w:tc>
      </w:tr>
      <w:tr w14:paraId="0E3E639E">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755F0101">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门槛扣除项中未扣除部分</w:t>
            </w:r>
          </w:p>
        </w:tc>
        <w:tc>
          <w:tcPr>
            <w:tcW w:w="1550" w:type="dxa"/>
            <w:tcBorders>
              <w:top w:val="nil"/>
              <w:left w:val="nil"/>
              <w:bottom w:val="nil"/>
              <w:right w:val="single" w:color="auto" w:sz="4" w:space="0"/>
            </w:tcBorders>
            <w:shd w:val="clear" w:color="auto" w:fill="auto"/>
            <w:noWrap/>
            <w:vAlign w:val="center"/>
          </w:tcPr>
          <w:p w14:paraId="6535567B">
            <w:pPr>
              <w:widowControl/>
              <w:jc w:val="center"/>
              <w:rPr>
                <w:rFonts w:ascii="微软雅黑" w:hAnsi="微软雅黑" w:eastAsia="微软雅黑" w:cs="Arial"/>
                <w:b/>
                <w:bCs/>
                <w:color w:val="000000"/>
                <w:kern w:val="0"/>
                <w:sz w:val="18"/>
                <w:szCs w:val="18"/>
              </w:rPr>
            </w:pPr>
          </w:p>
        </w:tc>
      </w:tr>
      <w:tr w14:paraId="3653EF9C">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4E7A93C3">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65</w:t>
            </w:r>
          </w:p>
        </w:tc>
        <w:tc>
          <w:tcPr>
            <w:tcW w:w="3130" w:type="dxa"/>
            <w:tcBorders>
              <w:top w:val="nil"/>
              <w:left w:val="nil"/>
              <w:bottom w:val="single" w:color="000000" w:sz="8" w:space="0"/>
              <w:right w:val="single" w:color="000000" w:sz="8" w:space="0"/>
            </w:tcBorders>
            <w:shd w:val="clear" w:color="auto" w:fill="auto"/>
            <w:vAlign w:val="center"/>
          </w:tcPr>
          <w:p w14:paraId="29FC503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对未并表金融机构的小额少数资本投资中未扣除部分</w:t>
            </w:r>
          </w:p>
        </w:tc>
        <w:tc>
          <w:tcPr>
            <w:tcW w:w="2310" w:type="dxa"/>
            <w:tcBorders>
              <w:top w:val="nil"/>
              <w:left w:val="nil"/>
              <w:bottom w:val="single" w:color="000000" w:sz="8" w:space="0"/>
              <w:right w:val="nil"/>
            </w:tcBorders>
            <w:shd w:val="clear" w:color="auto" w:fill="auto"/>
            <w:vAlign w:val="center"/>
          </w:tcPr>
          <w:p w14:paraId="2982EEA1">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61266C9A">
            <w:pPr>
              <w:widowControl/>
              <w:jc w:val="right"/>
              <w:rPr>
                <w:rFonts w:ascii="微软雅黑" w:hAnsi="微软雅黑" w:eastAsia="微软雅黑" w:cs="Arial"/>
                <w:color w:val="000000"/>
                <w:kern w:val="0"/>
                <w:sz w:val="18"/>
                <w:szCs w:val="18"/>
              </w:rPr>
            </w:pPr>
          </w:p>
        </w:tc>
      </w:tr>
      <w:tr w14:paraId="3CAA7183">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3B68CEA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66</w:t>
            </w:r>
          </w:p>
        </w:tc>
        <w:tc>
          <w:tcPr>
            <w:tcW w:w="3130" w:type="dxa"/>
            <w:tcBorders>
              <w:top w:val="nil"/>
              <w:left w:val="nil"/>
              <w:bottom w:val="single" w:color="000000" w:sz="8" w:space="0"/>
              <w:right w:val="single" w:color="000000" w:sz="8" w:space="0"/>
            </w:tcBorders>
            <w:shd w:val="clear" w:color="auto" w:fill="auto"/>
            <w:vAlign w:val="center"/>
          </w:tcPr>
          <w:p w14:paraId="4E6E5B39">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对未并表金融机构的大额少数资本投资中未扣除部分</w:t>
            </w:r>
          </w:p>
        </w:tc>
        <w:tc>
          <w:tcPr>
            <w:tcW w:w="2310" w:type="dxa"/>
            <w:tcBorders>
              <w:top w:val="nil"/>
              <w:left w:val="nil"/>
              <w:bottom w:val="single" w:color="000000" w:sz="8" w:space="0"/>
              <w:right w:val="nil"/>
            </w:tcBorders>
            <w:shd w:val="clear" w:color="auto" w:fill="auto"/>
            <w:vAlign w:val="center"/>
          </w:tcPr>
          <w:p w14:paraId="7B2078C0">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0</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1C26247A">
            <w:pPr>
              <w:widowControl/>
              <w:jc w:val="right"/>
              <w:rPr>
                <w:rFonts w:ascii="微软雅黑" w:hAnsi="微软雅黑" w:eastAsia="微软雅黑" w:cs="Arial"/>
                <w:color w:val="000000"/>
                <w:kern w:val="0"/>
                <w:sz w:val="18"/>
                <w:szCs w:val="18"/>
              </w:rPr>
            </w:pPr>
          </w:p>
        </w:tc>
      </w:tr>
      <w:tr w14:paraId="7638B61F">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58F152A7">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67</w:t>
            </w:r>
          </w:p>
        </w:tc>
        <w:tc>
          <w:tcPr>
            <w:tcW w:w="3130" w:type="dxa"/>
            <w:tcBorders>
              <w:top w:val="nil"/>
              <w:left w:val="nil"/>
              <w:bottom w:val="single" w:color="000000" w:sz="8" w:space="0"/>
              <w:right w:val="single" w:color="000000" w:sz="8" w:space="0"/>
            </w:tcBorders>
            <w:shd w:val="clear" w:color="auto" w:fill="auto"/>
            <w:vAlign w:val="center"/>
          </w:tcPr>
          <w:p w14:paraId="76EB2213">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其他依赖于银行未来盈利的净递延税资产（扣除递延税负债）</w:t>
            </w:r>
          </w:p>
        </w:tc>
        <w:tc>
          <w:tcPr>
            <w:tcW w:w="2310" w:type="dxa"/>
            <w:tcBorders>
              <w:top w:val="nil"/>
              <w:left w:val="nil"/>
              <w:bottom w:val="single" w:color="000000" w:sz="8" w:space="0"/>
              <w:right w:val="nil"/>
            </w:tcBorders>
            <w:shd w:val="clear" w:color="auto" w:fill="auto"/>
            <w:vAlign w:val="center"/>
          </w:tcPr>
          <w:p w14:paraId="05BE6811">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1.13 </w:t>
            </w:r>
          </w:p>
        </w:tc>
        <w:tc>
          <w:tcPr>
            <w:tcW w:w="1550" w:type="dxa"/>
            <w:tcBorders>
              <w:top w:val="nil"/>
              <w:left w:val="single" w:color="000000" w:sz="4" w:space="0"/>
              <w:bottom w:val="single" w:color="000000" w:sz="8" w:space="0"/>
              <w:right w:val="single" w:color="auto" w:sz="4" w:space="0"/>
            </w:tcBorders>
            <w:shd w:val="clear" w:color="auto" w:fill="auto"/>
            <w:vAlign w:val="center"/>
          </w:tcPr>
          <w:p w14:paraId="68EEC0E2">
            <w:pPr>
              <w:widowControl/>
              <w:jc w:val="right"/>
              <w:rPr>
                <w:rFonts w:ascii="微软雅黑" w:hAnsi="微软雅黑" w:eastAsia="微软雅黑" w:cs="Arial"/>
                <w:color w:val="000000"/>
                <w:kern w:val="0"/>
                <w:sz w:val="18"/>
                <w:szCs w:val="18"/>
              </w:rPr>
            </w:pPr>
          </w:p>
        </w:tc>
      </w:tr>
      <w:tr w14:paraId="7090FF72">
        <w:tblPrEx>
          <w:tblCellMar>
            <w:top w:w="0" w:type="dxa"/>
            <w:left w:w="108" w:type="dxa"/>
            <w:bottom w:w="0" w:type="dxa"/>
            <w:right w:w="108" w:type="dxa"/>
          </w:tblCellMar>
        </w:tblPrEx>
        <w:trPr>
          <w:trHeight w:val="285" w:hRule="atLeast"/>
        </w:trPr>
        <w:tc>
          <w:tcPr>
            <w:tcW w:w="6040" w:type="dxa"/>
            <w:gridSpan w:val="3"/>
            <w:tcBorders>
              <w:top w:val="nil"/>
              <w:left w:val="single" w:color="auto" w:sz="4" w:space="0"/>
              <w:bottom w:val="single" w:color="000000" w:sz="8" w:space="0"/>
              <w:right w:val="nil"/>
            </w:tcBorders>
            <w:shd w:val="clear" w:color="auto" w:fill="auto"/>
            <w:vAlign w:val="center"/>
          </w:tcPr>
          <w:p w14:paraId="1FF04CA8">
            <w:pPr>
              <w:widowControl/>
              <w:jc w:val="center"/>
              <w:rPr>
                <w:rFonts w:ascii="微软雅黑" w:hAnsi="微软雅黑" w:eastAsia="微软雅黑" w:cs="Arial"/>
                <w:b/>
                <w:bCs/>
                <w:color w:val="000000"/>
                <w:kern w:val="0"/>
                <w:sz w:val="18"/>
                <w:szCs w:val="18"/>
              </w:rPr>
            </w:pPr>
            <w:r>
              <w:rPr>
                <w:rFonts w:hint="eastAsia" w:ascii="微软雅黑" w:hAnsi="微软雅黑" w:eastAsia="微软雅黑" w:cs="Arial"/>
                <w:b/>
                <w:bCs/>
                <w:color w:val="000000"/>
                <w:kern w:val="0"/>
                <w:sz w:val="18"/>
                <w:szCs w:val="18"/>
              </w:rPr>
              <w:t>可计入二级资本的超额损失准备的限额</w:t>
            </w:r>
          </w:p>
        </w:tc>
        <w:tc>
          <w:tcPr>
            <w:tcW w:w="1550" w:type="dxa"/>
            <w:tcBorders>
              <w:top w:val="nil"/>
              <w:left w:val="nil"/>
              <w:bottom w:val="nil"/>
              <w:right w:val="single" w:color="auto" w:sz="4" w:space="0"/>
            </w:tcBorders>
            <w:shd w:val="clear" w:color="auto" w:fill="auto"/>
            <w:noWrap/>
            <w:vAlign w:val="center"/>
          </w:tcPr>
          <w:p w14:paraId="27EAC58A">
            <w:pPr>
              <w:widowControl/>
              <w:jc w:val="center"/>
              <w:rPr>
                <w:rFonts w:ascii="微软雅黑" w:hAnsi="微软雅黑" w:eastAsia="微软雅黑" w:cs="Arial"/>
                <w:b/>
                <w:bCs/>
                <w:color w:val="000000"/>
                <w:kern w:val="0"/>
                <w:sz w:val="18"/>
                <w:szCs w:val="18"/>
              </w:rPr>
            </w:pPr>
          </w:p>
        </w:tc>
      </w:tr>
      <w:tr w14:paraId="6254812D">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000000" w:sz="8" w:space="0"/>
              <w:right w:val="single" w:color="000000" w:sz="8" w:space="0"/>
            </w:tcBorders>
            <w:shd w:val="clear" w:color="auto" w:fill="auto"/>
            <w:vAlign w:val="center"/>
          </w:tcPr>
          <w:p w14:paraId="063C4832">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68</w:t>
            </w:r>
          </w:p>
        </w:tc>
        <w:tc>
          <w:tcPr>
            <w:tcW w:w="3130" w:type="dxa"/>
            <w:tcBorders>
              <w:top w:val="nil"/>
              <w:left w:val="nil"/>
              <w:bottom w:val="single" w:color="000000" w:sz="8" w:space="0"/>
              <w:right w:val="single" w:color="000000" w:sz="8" w:space="0"/>
            </w:tcBorders>
            <w:shd w:val="clear" w:color="auto" w:fill="auto"/>
            <w:vAlign w:val="center"/>
          </w:tcPr>
          <w:p w14:paraId="03C1117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权重法下，实际计提的超额损失准备金额</w:t>
            </w:r>
          </w:p>
        </w:tc>
        <w:tc>
          <w:tcPr>
            <w:tcW w:w="2310" w:type="dxa"/>
            <w:tcBorders>
              <w:top w:val="nil"/>
              <w:left w:val="nil"/>
              <w:bottom w:val="single" w:color="000000" w:sz="8" w:space="0"/>
              <w:right w:val="nil"/>
            </w:tcBorders>
            <w:shd w:val="clear" w:color="auto" w:fill="auto"/>
            <w:vAlign w:val="center"/>
          </w:tcPr>
          <w:p w14:paraId="37983878">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8.04 </w:t>
            </w:r>
          </w:p>
        </w:tc>
        <w:tc>
          <w:tcPr>
            <w:tcW w:w="1550" w:type="dxa"/>
            <w:tcBorders>
              <w:top w:val="single" w:color="000000" w:sz="4" w:space="0"/>
              <w:left w:val="single" w:color="000000" w:sz="4" w:space="0"/>
              <w:bottom w:val="single" w:color="000000" w:sz="8" w:space="0"/>
              <w:right w:val="single" w:color="auto" w:sz="4" w:space="0"/>
            </w:tcBorders>
            <w:shd w:val="clear" w:color="auto" w:fill="auto"/>
            <w:vAlign w:val="center"/>
          </w:tcPr>
          <w:p w14:paraId="77EE242D">
            <w:pPr>
              <w:widowControl/>
              <w:jc w:val="right"/>
              <w:rPr>
                <w:rFonts w:ascii="微软雅黑" w:hAnsi="微软雅黑" w:eastAsia="微软雅黑" w:cs="Arial"/>
                <w:color w:val="000000"/>
                <w:kern w:val="0"/>
                <w:sz w:val="18"/>
                <w:szCs w:val="18"/>
              </w:rPr>
            </w:pPr>
          </w:p>
        </w:tc>
      </w:tr>
      <w:tr w14:paraId="1724C45E">
        <w:tblPrEx>
          <w:tblCellMar>
            <w:top w:w="0" w:type="dxa"/>
            <w:left w:w="108" w:type="dxa"/>
            <w:bottom w:w="0" w:type="dxa"/>
            <w:right w:w="108" w:type="dxa"/>
          </w:tblCellMar>
        </w:tblPrEx>
        <w:trPr>
          <w:trHeight w:val="535" w:hRule="atLeast"/>
        </w:trPr>
        <w:tc>
          <w:tcPr>
            <w:tcW w:w="600" w:type="dxa"/>
            <w:tcBorders>
              <w:top w:val="nil"/>
              <w:left w:val="single" w:color="auto" w:sz="4" w:space="0"/>
              <w:bottom w:val="single" w:color="auto" w:sz="4" w:space="0"/>
              <w:right w:val="single" w:color="000000" w:sz="8" w:space="0"/>
            </w:tcBorders>
            <w:shd w:val="clear" w:color="auto" w:fill="auto"/>
            <w:vAlign w:val="center"/>
          </w:tcPr>
          <w:p w14:paraId="32FCD1D6">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69</w:t>
            </w:r>
          </w:p>
        </w:tc>
        <w:tc>
          <w:tcPr>
            <w:tcW w:w="3130" w:type="dxa"/>
            <w:tcBorders>
              <w:top w:val="nil"/>
              <w:left w:val="nil"/>
              <w:bottom w:val="single" w:color="auto" w:sz="4" w:space="0"/>
              <w:right w:val="single" w:color="000000" w:sz="8" w:space="0"/>
            </w:tcBorders>
            <w:shd w:val="clear" w:color="auto" w:fill="auto"/>
            <w:vAlign w:val="center"/>
          </w:tcPr>
          <w:p w14:paraId="23116794">
            <w:pPr>
              <w:widowControl/>
              <w:jc w:val="lef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权重法下，可计入二级资本超额损失准备的数额</w:t>
            </w:r>
          </w:p>
        </w:tc>
        <w:tc>
          <w:tcPr>
            <w:tcW w:w="2310" w:type="dxa"/>
            <w:tcBorders>
              <w:top w:val="nil"/>
              <w:left w:val="nil"/>
              <w:bottom w:val="single" w:color="auto" w:sz="4" w:space="0"/>
              <w:right w:val="nil"/>
            </w:tcBorders>
            <w:shd w:val="clear" w:color="auto" w:fill="auto"/>
            <w:vAlign w:val="center"/>
          </w:tcPr>
          <w:p w14:paraId="21A95405">
            <w:pPr>
              <w:widowControl/>
              <w:jc w:val="right"/>
              <w:rPr>
                <w:rFonts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 xml:space="preserve">5.10 </w:t>
            </w:r>
          </w:p>
        </w:tc>
        <w:tc>
          <w:tcPr>
            <w:tcW w:w="1550" w:type="dxa"/>
            <w:tcBorders>
              <w:top w:val="nil"/>
              <w:left w:val="single" w:color="000000" w:sz="4" w:space="0"/>
              <w:bottom w:val="single" w:color="auto" w:sz="4" w:space="0"/>
              <w:right w:val="single" w:color="auto" w:sz="4" w:space="0"/>
            </w:tcBorders>
            <w:shd w:val="clear" w:color="auto" w:fill="auto"/>
            <w:vAlign w:val="center"/>
          </w:tcPr>
          <w:p w14:paraId="0E9C347B">
            <w:pPr>
              <w:widowControl/>
              <w:jc w:val="right"/>
              <w:rPr>
                <w:rFonts w:ascii="微软雅黑" w:hAnsi="微软雅黑" w:eastAsia="微软雅黑" w:cs="Arial"/>
                <w:color w:val="000000"/>
                <w:kern w:val="0"/>
                <w:sz w:val="18"/>
                <w:szCs w:val="18"/>
              </w:rPr>
            </w:pPr>
          </w:p>
        </w:tc>
      </w:tr>
    </w:tbl>
    <w:p w14:paraId="21C42CB3">
      <w:pPr>
        <w:widowControl/>
        <w:jc w:val="left"/>
        <w:rPr>
          <w:rFonts w:ascii="黑体" w:hAnsi="黑体" w:eastAsia="黑体" w:cs="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007135"/>
    <w:rsid w:val="0001320D"/>
    <w:rsid w:val="000663FA"/>
    <w:rsid w:val="000A36EE"/>
    <w:rsid w:val="000D1726"/>
    <w:rsid w:val="00176184"/>
    <w:rsid w:val="001F367C"/>
    <w:rsid w:val="002D7E10"/>
    <w:rsid w:val="0049605D"/>
    <w:rsid w:val="004A0200"/>
    <w:rsid w:val="005012F4"/>
    <w:rsid w:val="005B5AC8"/>
    <w:rsid w:val="005D0436"/>
    <w:rsid w:val="00674411"/>
    <w:rsid w:val="0073272B"/>
    <w:rsid w:val="00741C8C"/>
    <w:rsid w:val="0081745F"/>
    <w:rsid w:val="00A44058"/>
    <w:rsid w:val="00A6787A"/>
    <w:rsid w:val="00B15B72"/>
    <w:rsid w:val="00B42DB2"/>
    <w:rsid w:val="00B50C5D"/>
    <w:rsid w:val="00B837DE"/>
    <w:rsid w:val="00C014C7"/>
    <w:rsid w:val="00C316F4"/>
    <w:rsid w:val="00D03606"/>
    <w:rsid w:val="00D239E8"/>
    <w:rsid w:val="00E705DA"/>
    <w:rsid w:val="00E91A62"/>
    <w:rsid w:val="00FF0D73"/>
    <w:rsid w:val="01D54D98"/>
    <w:rsid w:val="03D9122A"/>
    <w:rsid w:val="07926EDC"/>
    <w:rsid w:val="0A4D56E8"/>
    <w:rsid w:val="0B5F2E69"/>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373E3482"/>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4173CA"/>
    <w:rsid w:val="547323CD"/>
    <w:rsid w:val="56051FA0"/>
    <w:rsid w:val="56757125"/>
    <w:rsid w:val="58A7793C"/>
    <w:rsid w:val="59464DA9"/>
    <w:rsid w:val="5A9F6E67"/>
    <w:rsid w:val="5E4A08DE"/>
    <w:rsid w:val="5F15300A"/>
    <w:rsid w:val="600E52CC"/>
    <w:rsid w:val="60CB256C"/>
    <w:rsid w:val="613C1077"/>
    <w:rsid w:val="624D53FA"/>
    <w:rsid w:val="65F362B8"/>
    <w:rsid w:val="686B0388"/>
    <w:rsid w:val="69937B96"/>
    <w:rsid w:val="6F6B60B9"/>
    <w:rsid w:val="74E219D2"/>
    <w:rsid w:val="75FE20AC"/>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toc 2"/>
    <w:basedOn w:val="1"/>
    <w:next w:val="1"/>
    <w:qFormat/>
    <w:uiPriority w:val="39"/>
    <w:pPr>
      <w:ind w:left="420" w:leftChars="200"/>
    </w:p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0625b0-180b-4e5e-83a0-8736dcd4bb68}"/>
        <w:style w:val=""/>
        <w:category>
          <w:name w:val="常规"/>
          <w:gallery w:val="placeholder"/>
        </w:category>
        <w:types>
          <w:type w:val="bbPlcHdr"/>
        </w:types>
        <w:behaviors>
          <w:behavior w:val="content"/>
        </w:behaviors>
        <w:description w:val=""/>
        <w:guid w:val="{8A0625B0-180B-4E5E-83A0-8736DCD4BB68}"/>
      </w:docPartPr>
      <w:docPartBody>
        <w:p w14:paraId="2562BBE5">
          <w:r>
            <w:rPr>
              <w:color w:val="808080"/>
            </w:rPr>
            <w:t>单击此处输入文字。</w:t>
          </w:r>
        </w:p>
      </w:docPartBody>
    </w:docPart>
    <w:docPart>
      <w:docPartPr>
        <w:name w:val="{784ec47e-fc7a-4d75-91aa-84ae90c91146}"/>
        <w:style w:val=""/>
        <w:category>
          <w:name w:val="常规"/>
          <w:gallery w:val="placeholder"/>
        </w:category>
        <w:types>
          <w:type w:val="bbPlcHdr"/>
        </w:types>
        <w:behaviors>
          <w:behavior w:val="content"/>
        </w:behaviors>
        <w:description w:val=""/>
        <w:guid w:val="{784EC47E-FC7A-4D75-91AA-84AE90C91146}"/>
      </w:docPartPr>
      <w:docPartBody>
        <w:p w14:paraId="27C1CDB7">
          <w:r>
            <w:rPr>
              <w:color w:val="808080"/>
            </w:rPr>
            <w:t>单击此处输入文字。</w:t>
          </w:r>
        </w:p>
      </w:docPartBody>
    </w:docPart>
    <w:docPart>
      <w:docPartPr>
        <w:name w:val="91D61BFFCCDD44A7AD13BAE3915DB52D"/>
        <w:style w:val=""/>
        <w:category>
          <w:name w:val="常规"/>
          <w:gallery w:val="placeholder"/>
        </w:category>
        <w:types>
          <w:type w:val="bbPlcHdr"/>
        </w:types>
        <w:behaviors>
          <w:behavior w:val="content"/>
        </w:behaviors>
        <w:description w:val=""/>
        <w:guid w:val="{EE49F0A0-3CFA-48DD-8F3A-B0D6D3FB3F48}"/>
      </w:docPartPr>
      <w:docPartBody>
        <w:p w14:paraId="0C9F26A6">
          <w:pPr>
            <w:pStyle w:val="5"/>
          </w:pPr>
          <w:r>
            <w:rPr>
              <w:color w:val="808080"/>
            </w:rPr>
            <w:t>单击此处输入文字。</w:t>
          </w:r>
        </w:p>
      </w:docPartBody>
    </w:docPart>
    <w:docPart>
      <w:docPartPr>
        <w:name w:val="{a15a78d5-223b-49a4-a3b6-c67d9cbf0b63}"/>
        <w:style w:val=""/>
        <w:category>
          <w:name w:val="常规"/>
          <w:gallery w:val="placeholder"/>
        </w:category>
        <w:types>
          <w:type w:val="bbPlcHdr"/>
        </w:types>
        <w:behaviors>
          <w:behavior w:val="content"/>
        </w:behaviors>
        <w:description w:val=""/>
        <w:guid w:val="{a15a78d5-223b-49a4-a3b6-c67d9cbf0b63}"/>
      </w:docPartPr>
      <w:docPartBody>
        <w:p w14:paraId="5E32664E">
          <w:r>
            <w:rPr>
              <w:color w:val="808080"/>
            </w:rPr>
            <w:t>单击此处输入文字。</w:t>
          </w:r>
        </w:p>
      </w:docPartBody>
    </w:docPart>
    <w:docPart>
      <w:docPartPr>
        <w:name w:val="{ed8cadbd-9a1e-4375-9424-46cd7001e81b}"/>
        <w:style w:val=""/>
        <w:category>
          <w:name w:val="常规"/>
          <w:gallery w:val="placeholder"/>
        </w:category>
        <w:types>
          <w:type w:val="bbPlcHdr"/>
        </w:types>
        <w:behaviors>
          <w:behavior w:val="content"/>
        </w:behaviors>
        <w:description w:val=""/>
        <w:guid w:val="{ed8cadbd-9a1e-4375-9424-46cd7001e81b}"/>
      </w:docPartPr>
      <w:docPartBody>
        <w:p w14:paraId="199EFC10">
          <w:r>
            <w:rPr>
              <w:color w:val="808080"/>
            </w:rPr>
            <w:t>单击此处输入文字。</w:t>
          </w:r>
        </w:p>
      </w:docPartBody>
    </w:docPart>
    <w:docPart>
      <w:docPartPr>
        <w:name w:val="{3c89330c-ac2e-4d55-8a67-517a39fe3b8f}"/>
        <w:style w:val=""/>
        <w:category>
          <w:name w:val="常规"/>
          <w:gallery w:val="placeholder"/>
        </w:category>
        <w:types>
          <w:type w:val="bbPlcHdr"/>
        </w:types>
        <w:behaviors>
          <w:behavior w:val="content"/>
        </w:behaviors>
        <w:description w:val=""/>
        <w:guid w:val="{3c89330c-ac2e-4d55-8a67-517a39fe3b8f}"/>
      </w:docPartPr>
      <w:docPartBody>
        <w:p w14:paraId="2243190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41DB1"/>
    <w:rsid w:val="00141DB1"/>
    <w:rsid w:val="002968A7"/>
    <w:rsid w:val="007760BB"/>
    <w:rsid w:val="00887DA8"/>
    <w:rsid w:val="00A415D5"/>
    <w:rsid w:val="00A67F30"/>
    <w:rsid w:val="00D6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2C19D8A196842EBB6B61169A54D5B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91D61BFFCCDD44A7AD13BAE3915DB52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2079</Words>
  <Characters>2495</Characters>
  <Lines>25</Lines>
  <Paragraphs>7</Paragraphs>
  <TotalTime>0</TotalTime>
  <ScaleCrop>false</ScaleCrop>
  <LinksUpToDate>false</LinksUpToDate>
  <CharactersWithSpaces>2667</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2022-12-02T02:22:00Z</dcterms:created>
  <dc:creator>jiayuanyuan</dc:creator>
  <cp:lastModifiedBy>jiayuanyuan</cp:lastModifiedBy>
  <dcterms:modified xsi:type="dcterms:W3CDTF">2024-07-30T05:18:32Z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C2A2C43835414C3186BB00B961B6401E</vt:lpwstr>
  </property>
</Properties>
</file>