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5" w:name="_GoBack"/>
      <w:bookmarkEnd w:id="5"/>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通用技术集团财务有限责任公司</w:t>
      </w:r>
    </w:p>
    <w:p>
      <w:pPr>
        <w:jc w:val="center"/>
        <w:rPr>
          <w:rFonts w:ascii="黑体" w:hAnsi="黑体" w:eastAsia="黑体" w:cs="黑体"/>
          <w:sz w:val="36"/>
          <w:szCs w:val="36"/>
        </w:rPr>
      </w:pPr>
      <w:r>
        <w:rPr>
          <w:rFonts w:hint="eastAsia" w:ascii="黑体" w:hAnsi="黑体" w:eastAsia="黑体" w:cs="黑体"/>
          <w:sz w:val="36"/>
          <w:szCs w:val="36"/>
        </w:rPr>
        <w:t>2024年第一季度第三支柱信息披露报告</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sdt>
      <w:sdtPr>
        <w:rPr>
          <w:rFonts w:ascii="宋体" w:hAnsi="宋体" w:eastAsia="宋体"/>
          <w:sz w:val="44"/>
          <w:szCs w:val="44"/>
        </w:rPr>
        <w:id w:val="147471422"/>
        <w15:color w:val="DBDBDB"/>
        <w:docPartObj>
          <w:docPartGallery w:val="Table of Contents"/>
          <w:docPartUnique/>
        </w:docPartObj>
      </w:sdtPr>
      <w:sdtEndPr>
        <w:rPr>
          <w:rFonts w:hint="eastAsia" w:ascii="黑体" w:hAnsi="黑体" w:eastAsia="黑体" w:cs="黑体"/>
          <w:b/>
          <w:sz w:val="21"/>
          <w:szCs w:val="36"/>
        </w:rPr>
      </w:sdtEndPr>
      <w:sdtContent>
        <w:p>
          <w:pPr>
            <w:jc w:val="center"/>
            <w:rPr>
              <w:rFonts w:ascii="宋体" w:hAnsi="宋体" w:eastAsia="宋体"/>
              <w:sz w:val="44"/>
              <w:szCs w:val="44"/>
            </w:rPr>
          </w:pPr>
          <w:r>
            <w:rPr>
              <w:rFonts w:ascii="宋体" w:hAnsi="宋体" w:eastAsia="宋体"/>
              <w:sz w:val="44"/>
              <w:szCs w:val="44"/>
            </w:rPr>
            <w:t>目录</w:t>
          </w:r>
        </w:p>
        <w:p>
          <w:pPr>
            <w:jc w:val="center"/>
            <w:rPr>
              <w:rFonts w:ascii="宋体" w:hAnsi="宋体" w:eastAsia="宋体"/>
              <w:sz w:val="44"/>
              <w:szCs w:val="44"/>
            </w:rPr>
          </w:pPr>
        </w:p>
        <w:p>
          <w:pPr>
            <w:pStyle w:val="6"/>
            <w:tabs>
              <w:tab w:val="right" w:leader="dot" w:pos="8306"/>
            </w:tabs>
            <w:rPr>
              <w:b/>
            </w:rPr>
          </w:pPr>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TOC \o "1-2" \h \u </w:instrText>
          </w:r>
          <w:r>
            <w:rPr>
              <w:rFonts w:hint="eastAsia" w:ascii="黑体" w:hAnsi="黑体" w:eastAsia="黑体" w:cs="黑体"/>
              <w:sz w:val="36"/>
              <w:szCs w:val="36"/>
            </w:rPr>
            <w:fldChar w:fldCharType="separate"/>
          </w:r>
          <w:r>
            <w:fldChar w:fldCharType="begin"/>
          </w:r>
          <w:r>
            <w:instrText xml:space="preserve"> HYPERLINK \l "_Toc22527" </w:instrText>
          </w:r>
          <w:r>
            <w:fldChar w:fldCharType="separate"/>
          </w:r>
          <w:sdt>
            <w:sdtPr>
              <w:rPr>
                <w:rFonts w:ascii="黑体" w:hAnsi="黑体" w:eastAsia="黑体" w:cs="黑体"/>
                <w:b/>
                <w:szCs w:val="36"/>
              </w:rPr>
              <w:id w:val="147475312"/>
              <w:placeholder>
                <w:docPart w:val="{be756c22-186d-42e9-b19c-78bd165194b8}"/>
              </w:placeholder>
              <w15:color w:val="509DF3"/>
            </w:sdtPr>
            <w:sdtEndPr>
              <w:rPr>
                <w:rFonts w:ascii="黑体" w:hAnsi="黑体" w:eastAsia="黑体" w:cs="黑体"/>
                <w:b/>
                <w:szCs w:val="36"/>
              </w:rPr>
            </w:sdtEndPr>
            <w:sdtContent>
              <w:r>
                <w:rPr>
                  <w:rFonts w:hint="eastAsia" w:ascii="黑体" w:hAnsi="黑体" w:eastAsia="黑体" w:cs="黑体"/>
                  <w:b/>
                  <w:szCs w:val="36"/>
                </w:rPr>
                <w:t>1引言</w:t>
              </w:r>
            </w:sdtContent>
          </w:sdt>
          <w:r>
            <w:rPr>
              <w:b/>
            </w:rPr>
            <w:tab/>
          </w:r>
          <w:r>
            <w:rPr>
              <w:b/>
            </w:rPr>
            <w:fldChar w:fldCharType="begin"/>
          </w:r>
          <w:r>
            <w:rPr>
              <w:b/>
            </w:rPr>
            <w:instrText xml:space="preserve"> PAGEREF _Toc22527 \h </w:instrText>
          </w:r>
          <w:r>
            <w:rPr>
              <w:b/>
            </w:rPr>
            <w:fldChar w:fldCharType="separate"/>
          </w:r>
          <w:r>
            <w:rPr>
              <w:b/>
            </w:rPr>
            <w:t>3</w:t>
          </w:r>
          <w:r>
            <w:rPr>
              <w:b/>
            </w:rPr>
            <w:fldChar w:fldCharType="end"/>
          </w:r>
          <w:r>
            <w:rPr>
              <w:b/>
            </w:rPr>
            <w:fldChar w:fldCharType="end"/>
          </w:r>
        </w:p>
        <w:p>
          <w:pPr>
            <w:pStyle w:val="7"/>
            <w:tabs>
              <w:tab w:val="right" w:leader="dot" w:pos="8306"/>
            </w:tabs>
            <w:ind w:left="420"/>
          </w:pPr>
          <w:r>
            <w:fldChar w:fldCharType="begin"/>
          </w:r>
          <w:r>
            <w:instrText xml:space="preserve"> HYPERLINK \l "_Toc11171" </w:instrText>
          </w:r>
          <w:r>
            <w:fldChar w:fldCharType="separate"/>
          </w:r>
          <w:r>
            <w:rPr>
              <w:rFonts w:hint="eastAsia" w:eastAsia="黑体"/>
              <w:szCs w:val="24"/>
            </w:rPr>
            <w:t>1.1 披露依据</w:t>
          </w:r>
          <w:r>
            <w:tab/>
          </w:r>
          <w:r>
            <w:fldChar w:fldCharType="begin"/>
          </w:r>
          <w:r>
            <w:instrText xml:space="preserve"> PAGEREF _Toc11171 \h </w:instrText>
          </w:r>
          <w:r>
            <w:fldChar w:fldCharType="separate"/>
          </w:r>
          <w:r>
            <w:t>3</w:t>
          </w:r>
          <w:r>
            <w:fldChar w:fldCharType="end"/>
          </w:r>
          <w:r>
            <w:fldChar w:fldCharType="end"/>
          </w:r>
        </w:p>
        <w:p>
          <w:pPr>
            <w:pStyle w:val="7"/>
            <w:tabs>
              <w:tab w:val="right" w:leader="dot" w:pos="8306"/>
            </w:tabs>
            <w:ind w:left="420"/>
          </w:pPr>
          <w:r>
            <w:fldChar w:fldCharType="begin"/>
          </w:r>
          <w:r>
            <w:instrText xml:space="preserve"> HYPERLINK \l "_Toc32346" </w:instrText>
          </w:r>
          <w:r>
            <w:fldChar w:fldCharType="separate"/>
          </w:r>
          <w:r>
            <w:rPr>
              <w:rFonts w:hint="eastAsia" w:eastAsia="黑体"/>
              <w:szCs w:val="24"/>
            </w:rPr>
            <w:t>1.2 披露声明</w:t>
          </w:r>
          <w:r>
            <w:tab/>
          </w:r>
          <w:r>
            <w:fldChar w:fldCharType="begin"/>
          </w:r>
          <w:r>
            <w:instrText xml:space="preserve"> PAGEREF _Toc32346 \h </w:instrText>
          </w:r>
          <w:r>
            <w:fldChar w:fldCharType="separate"/>
          </w:r>
          <w:r>
            <w:t>3</w:t>
          </w:r>
          <w:r>
            <w:fldChar w:fldCharType="end"/>
          </w:r>
          <w:r>
            <w:fldChar w:fldCharType="end"/>
          </w:r>
        </w:p>
        <w:p>
          <w:pPr>
            <w:pStyle w:val="6"/>
            <w:tabs>
              <w:tab w:val="right" w:leader="dot" w:pos="8306"/>
            </w:tabs>
            <w:rPr>
              <w:b/>
            </w:rPr>
          </w:pPr>
          <w:r>
            <w:fldChar w:fldCharType="begin"/>
          </w:r>
          <w:r>
            <w:instrText xml:space="preserve"> HYPERLINK \l "_Toc4865" </w:instrText>
          </w:r>
          <w:r>
            <w:fldChar w:fldCharType="separate"/>
          </w:r>
          <w:sdt>
            <w:sdtPr>
              <w:rPr>
                <w:rFonts w:ascii="黑体" w:hAnsi="黑体" w:eastAsia="黑体" w:cs="黑体"/>
                <w:b/>
                <w:szCs w:val="36"/>
              </w:rPr>
              <w:id w:val="1113320240"/>
              <w:placeholder>
                <w:docPart w:val="{5b4ea0a5-89f6-44a2-adf5-eed181162a0f}"/>
              </w:placeholder>
              <w15:color w:val="509DF3"/>
            </w:sdtPr>
            <w:sdtEndPr>
              <w:rPr>
                <w:rFonts w:ascii="黑体" w:hAnsi="黑体" w:eastAsia="黑体" w:cs="黑体"/>
                <w:b/>
                <w:szCs w:val="36"/>
              </w:rPr>
            </w:sdtEndPr>
            <w:sdtContent>
              <w:r>
                <w:rPr>
                  <w:rFonts w:hint="eastAsia" w:ascii="黑体" w:hAnsi="黑体" w:eastAsia="黑体" w:cs="黑体"/>
                  <w:b/>
                  <w:szCs w:val="36"/>
                </w:rPr>
                <w:t>2</w:t>
              </w:r>
              <w:r>
                <w:rPr>
                  <w:rFonts w:hint="eastAsia" w:ascii="黑体" w:hAnsi="黑体" w:eastAsia="黑体" w:cs="黑体"/>
                  <w:b/>
                  <w:bCs/>
                  <w:szCs w:val="36"/>
                  <w:lang w:bidi="ar"/>
                </w:rPr>
                <w:t>关键审慎监管指标概览</w:t>
              </w:r>
            </w:sdtContent>
          </w:sdt>
          <w:r>
            <w:rPr>
              <w:b/>
            </w:rPr>
            <w:tab/>
          </w:r>
          <w:r>
            <w:rPr>
              <w:b/>
            </w:rPr>
            <w:fldChar w:fldCharType="begin"/>
          </w:r>
          <w:r>
            <w:rPr>
              <w:b/>
            </w:rPr>
            <w:instrText xml:space="preserve"> PAGEREF _Toc4865 \h </w:instrText>
          </w:r>
          <w:r>
            <w:rPr>
              <w:b/>
            </w:rPr>
            <w:fldChar w:fldCharType="separate"/>
          </w:r>
          <w:r>
            <w:rPr>
              <w:b/>
            </w:rPr>
            <w:t>4</w:t>
          </w:r>
          <w:r>
            <w:rPr>
              <w:b/>
            </w:rPr>
            <w:fldChar w:fldCharType="end"/>
          </w:r>
          <w:r>
            <w:rPr>
              <w:b/>
            </w:rPr>
            <w:fldChar w:fldCharType="end"/>
          </w:r>
        </w:p>
        <w:p>
          <w:pPr>
            <w:jc w:val="center"/>
            <w:rPr>
              <w:rFonts w:ascii="黑体" w:hAnsi="黑体" w:eastAsia="黑体" w:cs="黑体"/>
              <w:sz w:val="36"/>
              <w:szCs w:val="36"/>
            </w:rPr>
          </w:pPr>
          <w:r>
            <w:rPr>
              <w:rFonts w:hint="eastAsia" w:ascii="黑体" w:hAnsi="黑体" w:eastAsia="黑体" w:cs="黑体"/>
              <w:b/>
              <w:szCs w:val="36"/>
            </w:rPr>
            <w:fldChar w:fldCharType="end"/>
          </w:r>
        </w:p>
      </w:sdtContent>
    </w:sdt>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rPr>
          <w:rFonts w:ascii="黑体" w:hAnsi="黑体" w:eastAsia="黑体" w:cs="黑体"/>
          <w:sz w:val="36"/>
          <w:szCs w:val="36"/>
        </w:rPr>
      </w:pPr>
      <w:r>
        <w:rPr>
          <w:rFonts w:hint="eastAsia" w:ascii="黑体" w:hAnsi="黑体" w:eastAsia="黑体" w:cs="黑体"/>
          <w:sz w:val="36"/>
          <w:szCs w:val="36"/>
        </w:rPr>
        <w:br w:type="page"/>
      </w:r>
    </w:p>
    <w:p>
      <w:pPr>
        <w:jc w:val="center"/>
        <w:rPr>
          <w:rFonts w:ascii="黑体" w:hAnsi="黑体" w:eastAsia="黑体" w:cs="黑体"/>
          <w:sz w:val="36"/>
          <w:szCs w:val="36"/>
        </w:rPr>
      </w:pPr>
    </w:p>
    <w:sdt>
      <w:sdtPr>
        <w:rPr>
          <w:rFonts w:ascii="黑体" w:hAnsi="黑体" w:eastAsia="黑体" w:cs="黑体"/>
          <w:sz w:val="36"/>
          <w:szCs w:val="36"/>
        </w:rPr>
        <w:id w:val="-29964183"/>
        <w:placeholder>
          <w:docPart w:val="{8a0625b0-180b-4e5e-83a0-8736dcd4bb68}"/>
        </w:placeholder>
        <w15:color w:val="509DF3"/>
      </w:sdtPr>
      <w:sdtEndPr>
        <w:rPr>
          <w:rFonts w:ascii="黑体" w:hAnsi="黑体" w:eastAsia="黑体" w:cs="黑体"/>
          <w:sz w:val="36"/>
          <w:szCs w:val="36"/>
        </w:rPr>
      </w:sdtEndPr>
      <w:sdtContent>
        <w:p>
          <w:pPr>
            <w:spacing w:line="360" w:lineRule="auto"/>
            <w:jc w:val="left"/>
            <w:outlineLvl w:val="0"/>
            <w:rPr>
              <w:rFonts w:ascii="黑体" w:hAnsi="黑体" w:eastAsia="黑体" w:cs="黑体"/>
              <w:sz w:val="36"/>
              <w:szCs w:val="36"/>
            </w:rPr>
          </w:pPr>
          <w:bookmarkStart w:id="0" w:name="_Toc22527"/>
          <w:r>
            <w:rPr>
              <w:rFonts w:hint="eastAsia" w:ascii="黑体" w:hAnsi="黑体" w:eastAsia="黑体" w:cs="黑体"/>
              <w:sz w:val="36"/>
              <w:szCs w:val="36"/>
            </w:rPr>
            <w:t>1引言</w:t>
          </w:r>
        </w:p>
      </w:sdtContent>
    </w:sdt>
    <w:bookmarkEnd w:id="0"/>
    <w:p>
      <w:pPr>
        <w:spacing w:line="360" w:lineRule="auto"/>
        <w:jc w:val="left"/>
        <w:outlineLvl w:val="1"/>
        <w:rPr>
          <w:rFonts w:ascii="黑体" w:hAnsi="黑体" w:eastAsia="黑体" w:cs="黑体"/>
          <w:sz w:val="28"/>
          <w:szCs w:val="28"/>
        </w:rPr>
      </w:pPr>
      <w:bookmarkStart w:id="1" w:name="_Toc11171"/>
      <w:r>
        <w:rPr>
          <w:rFonts w:hint="eastAsia" w:eastAsia="黑体"/>
          <w:sz w:val="24"/>
        </w:rPr>
        <w:t>1.1 披露依据</w:t>
      </w:r>
      <w:bookmarkEnd w:id="1"/>
    </w:p>
    <w:p>
      <w:pPr>
        <w:widowControl/>
        <w:spacing w:line="360" w:lineRule="auto"/>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本报告根据国家金融监督管理总局令第 4 号《商业银行资本管理办法》编制并披露。</w:t>
      </w:r>
    </w:p>
    <w:p>
      <w:pPr>
        <w:spacing w:line="360" w:lineRule="auto"/>
        <w:jc w:val="left"/>
        <w:outlineLvl w:val="1"/>
        <w:rPr>
          <w:rFonts w:ascii="黑体" w:hAnsi="黑体" w:eastAsia="黑体" w:cs="黑体"/>
          <w:sz w:val="28"/>
          <w:szCs w:val="28"/>
        </w:rPr>
      </w:pPr>
      <w:bookmarkStart w:id="2" w:name="_Toc32346"/>
      <w:r>
        <w:rPr>
          <w:rFonts w:hint="eastAsia" w:eastAsia="黑体"/>
          <w:sz w:val="24"/>
        </w:rPr>
        <w:t>1.2 披露声明</w:t>
      </w:r>
      <w:bookmarkEnd w:id="2"/>
    </w:p>
    <w:p>
      <w:pPr>
        <w:widowControl/>
        <w:spacing w:line="360" w:lineRule="auto"/>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本报告是按照国家金融监督管理总局《商业银行资本管理办法》正文第九章信息披露及附件22商业银行信息披露内容和要求编制，而非财务会计准则。</w:t>
      </w:r>
    </w:p>
    <w:p>
      <w:pPr>
        <w:spacing w:line="360" w:lineRule="auto"/>
        <w:rPr>
          <w:rFonts w:ascii="宋体" w:hAnsi="宋体" w:eastAsia="宋体" w:cs="宋体"/>
          <w:color w:val="000000"/>
          <w:kern w:val="0"/>
          <w:sz w:val="24"/>
          <w:lang w:bidi="ar"/>
        </w:rPr>
      </w:pPr>
      <w:r>
        <w:rPr>
          <w:rFonts w:hint="eastAsia" w:ascii="宋体" w:hAnsi="宋体" w:eastAsia="宋体" w:cs="宋体"/>
          <w:color w:val="000000"/>
          <w:kern w:val="0"/>
          <w:sz w:val="24"/>
          <w:lang w:bidi="ar"/>
        </w:rPr>
        <w:br w:type="page"/>
      </w:r>
    </w:p>
    <w:sdt>
      <w:sdtPr>
        <w:rPr>
          <w:rFonts w:ascii="黑体" w:hAnsi="黑体" w:eastAsia="黑体" w:cs="黑体"/>
          <w:sz w:val="36"/>
          <w:szCs w:val="36"/>
        </w:rPr>
        <w:id w:val="-760911480"/>
        <w:placeholder>
          <w:docPart w:val="{784ec47e-fc7a-4d75-91aa-84ae90c91146}"/>
        </w:placeholder>
        <w15:color w:val="509DF3"/>
      </w:sdtPr>
      <w:sdtEndPr>
        <w:rPr>
          <w:rFonts w:ascii="黑体" w:hAnsi="黑体" w:eastAsia="黑体" w:cs="黑体"/>
          <w:sz w:val="36"/>
          <w:szCs w:val="36"/>
        </w:rPr>
      </w:sdtEndPr>
      <w:sdtContent>
        <w:p>
          <w:pPr>
            <w:widowControl/>
            <w:spacing w:line="360" w:lineRule="auto"/>
            <w:jc w:val="left"/>
            <w:outlineLvl w:val="0"/>
            <w:rPr>
              <w:rFonts w:ascii="黑体" w:hAnsi="黑体" w:eastAsia="黑体" w:cs="黑体"/>
              <w:sz w:val="36"/>
              <w:szCs w:val="36"/>
            </w:rPr>
          </w:pPr>
          <w:bookmarkStart w:id="3" w:name="_Toc4865"/>
          <w:r>
            <w:rPr>
              <w:rFonts w:hint="eastAsia" w:ascii="黑体" w:hAnsi="黑体" w:eastAsia="黑体" w:cs="黑体"/>
              <w:sz w:val="36"/>
              <w:szCs w:val="36"/>
            </w:rPr>
            <w:t>2</w:t>
          </w:r>
          <w:r>
            <w:rPr>
              <w:rFonts w:hint="eastAsia" w:ascii="黑体" w:hAnsi="黑体" w:eastAsia="黑体" w:cs="黑体"/>
              <w:b/>
              <w:bCs/>
              <w:color w:val="000000"/>
              <w:kern w:val="0"/>
              <w:sz w:val="36"/>
              <w:szCs w:val="36"/>
              <w:lang w:bidi="ar"/>
            </w:rPr>
            <w:t>关键审慎监管指标概览</w:t>
          </w:r>
        </w:p>
      </w:sdtContent>
    </w:sdt>
    <w:bookmarkEnd w:id="3"/>
    <w:p>
      <w:pPr>
        <w:widowControl/>
        <w:spacing w:line="360" w:lineRule="auto"/>
        <w:ind w:firstLine="480" w:firstLineChars="200"/>
        <w:jc w:val="left"/>
        <w:rPr>
          <w:rFonts w:eastAsia="宋体"/>
          <w:sz w:val="24"/>
        </w:rPr>
      </w:pPr>
      <w:r>
        <w:rPr>
          <w:rFonts w:hint="eastAsia" w:ascii="宋体" w:hAnsi="宋体" w:eastAsia="宋体" w:cs="宋体"/>
          <w:color w:val="000000"/>
          <w:kern w:val="0"/>
          <w:sz w:val="24"/>
          <w:lang w:bidi="ar"/>
        </w:rPr>
        <w:t>关键审慎监管指标包括资本充足率、杠杆率以及流动性风险相关的指标。本公司关键审慎监管指标概览如下。</w:t>
      </w:r>
    </w:p>
    <w:p>
      <w:pPr>
        <w:widowControl/>
        <w:spacing w:line="360" w:lineRule="auto"/>
        <w:jc w:val="left"/>
        <w:outlineLvl w:val="0"/>
        <w:rPr>
          <w:rFonts w:ascii="宋体" w:hAnsi="宋体" w:eastAsia="宋体" w:cs="宋体"/>
          <w:color w:val="000000"/>
          <w:kern w:val="0"/>
          <w:sz w:val="24"/>
          <w:lang w:bidi="ar"/>
        </w:rPr>
      </w:pPr>
      <w:r>
        <w:rPr>
          <w:rFonts w:hint="eastAsia" w:ascii="黑体" w:hAnsi="黑体" w:eastAsia="黑体" w:cs="黑体"/>
          <w:sz w:val="36"/>
          <w:szCs w:val="36"/>
        </w:rPr>
        <w:t xml:space="preserve">   </w:t>
      </w:r>
      <w:bookmarkStart w:id="4" w:name="_Toc3481"/>
      <w:r>
        <w:rPr>
          <w:rFonts w:hint="eastAsia" w:ascii="宋体" w:hAnsi="宋体" w:eastAsia="宋体" w:cs="宋体"/>
          <w:b/>
          <w:bCs/>
          <w:color w:val="000000"/>
          <w:kern w:val="0"/>
          <w:sz w:val="24"/>
          <w:lang w:bidi="ar"/>
        </w:rPr>
        <w:t>表格KM1：监管并表关键审慎监管指标</w:t>
      </w:r>
      <w:bookmarkEnd w:id="4"/>
    </w:p>
    <w:p>
      <w:pPr>
        <w:widowControl/>
        <w:spacing w:line="360" w:lineRule="auto"/>
        <w:jc w:val="left"/>
      </w:pPr>
      <w:r>
        <w:rPr>
          <w:rFonts w:hint="eastAsia" w:ascii="黑体" w:hAnsi="黑体" w:eastAsia="黑体" w:cs="黑体"/>
          <w:sz w:val="36"/>
          <w:szCs w:val="36"/>
        </w:rPr>
        <w:t xml:space="preserve">                              </w:t>
      </w:r>
      <w:r>
        <w:rPr>
          <w:rFonts w:hint="eastAsia" w:ascii="宋体" w:hAnsi="宋体" w:eastAsia="宋体" w:cs="宋体"/>
          <w:color w:val="000000"/>
          <w:kern w:val="0"/>
          <w:sz w:val="20"/>
          <w:szCs w:val="20"/>
          <w:lang w:bidi="ar"/>
        </w:rPr>
        <w:t>单位：人民币亿元，百分比除外</w:t>
      </w:r>
    </w:p>
    <w:tbl>
      <w:tblPr>
        <w:tblStyle w:val="4"/>
        <w:tblW w:w="8340" w:type="dxa"/>
        <w:tblInd w:w="98" w:type="dxa"/>
        <w:tblLayout w:type="autofit"/>
        <w:tblCellMar>
          <w:top w:w="0" w:type="dxa"/>
          <w:left w:w="108" w:type="dxa"/>
          <w:bottom w:w="0" w:type="dxa"/>
          <w:right w:w="108" w:type="dxa"/>
        </w:tblCellMar>
      </w:tblPr>
      <w:tblGrid>
        <w:gridCol w:w="1040"/>
        <w:gridCol w:w="4190"/>
        <w:gridCol w:w="3110"/>
      </w:tblGrid>
      <w:tr>
        <w:tblPrEx>
          <w:tblCellMar>
            <w:top w:w="0" w:type="dxa"/>
            <w:left w:w="108" w:type="dxa"/>
            <w:bottom w:w="0" w:type="dxa"/>
            <w:right w:w="108" w:type="dxa"/>
          </w:tblCellMar>
        </w:tblPrEx>
        <w:trPr>
          <w:trHeight w:val="280" w:hRule="atLeast"/>
        </w:trPr>
        <w:tc>
          <w:tcPr>
            <w:tcW w:w="5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微软雅黑" w:hAnsi="微软雅黑" w:eastAsia="微软雅黑" w:cs="微软雅黑"/>
                <w:color w:val="000000"/>
                <w:sz w:val="18"/>
                <w:szCs w:val="18"/>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a</w:t>
            </w:r>
          </w:p>
        </w:tc>
      </w:tr>
      <w:tr>
        <w:tblPrEx>
          <w:tblCellMar>
            <w:top w:w="0" w:type="dxa"/>
            <w:left w:w="108" w:type="dxa"/>
            <w:bottom w:w="0" w:type="dxa"/>
            <w:right w:w="108" w:type="dxa"/>
          </w:tblCellMar>
        </w:tblPrEx>
        <w:trPr>
          <w:trHeight w:val="280" w:hRule="atLeast"/>
        </w:trPr>
        <w:tc>
          <w:tcPr>
            <w:tcW w:w="5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微软雅黑" w:hAnsi="微软雅黑" w:eastAsia="微软雅黑" w:cs="微软雅黑"/>
                <w:color w:val="000000"/>
                <w:sz w:val="18"/>
                <w:szCs w:val="18"/>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2024年3月31日</w:t>
            </w:r>
          </w:p>
        </w:tc>
      </w:tr>
      <w:tr>
        <w:tblPrEx>
          <w:tblCellMar>
            <w:top w:w="0" w:type="dxa"/>
            <w:left w:w="108" w:type="dxa"/>
            <w:bottom w:w="0" w:type="dxa"/>
            <w:right w:w="108" w:type="dxa"/>
          </w:tblCellMar>
        </w:tblPrEx>
        <w:trPr>
          <w:trHeight w:val="280" w:hRule="atLeast"/>
        </w:trPr>
        <w:tc>
          <w:tcPr>
            <w:tcW w:w="8340" w:type="dxa"/>
            <w:gridSpan w:val="3"/>
            <w:tcBorders>
              <w:top w:val="nil"/>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可用资本（数额）</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核心一级资本净额</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57.97</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一级资本净额</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57.97</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资本净额</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63.64</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风险加权资产（数额）</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风险加权资产</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464.98</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资本充足率</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核心一级资本充足率（%）</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12.47</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一级资本充足率（%）</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12.47</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资本充足率（%）</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13.69</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其他各级资本要求</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储备资本要求（%）</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2.50 </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逆周期资本要求（%）</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0.00 </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全球系统重要性银行或国内系统重要性银行附加资本要求（%）</w:t>
            </w:r>
          </w:p>
        </w:tc>
        <w:tc>
          <w:tcPr>
            <w:tcW w:w="3110" w:type="dxa"/>
            <w:tcBorders>
              <w:top w:val="single" w:color="000000" w:sz="4" w:space="0"/>
              <w:left w:val="single" w:color="000000" w:sz="4" w:space="0"/>
              <w:bottom w:val="single" w:color="000000" w:sz="4" w:space="0"/>
              <w:right w:val="single" w:color="000000" w:sz="4" w:space="0"/>
            </w:tcBorders>
            <w:shd w:val="clear" w:color="auto" w:fill="BEBEBE"/>
            <w:vAlign w:val="center"/>
          </w:tcPr>
          <w:p>
            <w:pPr>
              <w:rPr>
                <w:rFonts w:ascii="微软雅黑" w:hAnsi="微软雅黑" w:eastAsia="微软雅黑" w:cs="微软雅黑"/>
                <w:color w:val="000000"/>
                <w:sz w:val="18"/>
                <w:szCs w:val="18"/>
              </w:rPr>
            </w:pP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11</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其他各级资本要求（%）（8+9+10）</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2.50 </w:t>
            </w:r>
          </w:p>
        </w:tc>
      </w:tr>
      <w:tr>
        <w:tblPrEx>
          <w:tblCellMar>
            <w:top w:w="0" w:type="dxa"/>
            <w:left w:w="108" w:type="dxa"/>
            <w:bottom w:w="0" w:type="dxa"/>
            <w:right w:w="108" w:type="dxa"/>
          </w:tblCellMar>
        </w:tblPrEx>
        <w:trPr>
          <w:trHeight w:val="6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满足最低资本要求后的可用核心一级资本净额占风险加权资产的比例（%）</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5.69</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杠杆率</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调整后表内外资产余额</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530.31</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杠杆率（%）</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10.93</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14a</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杠杆率a（%）</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10.93</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流动性覆盖率</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15</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合格优质流动性资产</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16</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现金净流出量</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17</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流动性覆盖率（%）</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9D9D9"/>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净稳定资金比例</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18</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可用稳定资金合计</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19</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所需稳定资金合计</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4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净稳定资金比例（%）</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不适用</w:t>
            </w:r>
          </w:p>
        </w:tc>
      </w:tr>
      <w:tr>
        <w:tblPrEx>
          <w:tblCellMar>
            <w:top w:w="0" w:type="dxa"/>
            <w:left w:w="108" w:type="dxa"/>
            <w:bottom w:w="0" w:type="dxa"/>
            <w:right w:w="108" w:type="dxa"/>
          </w:tblCellMar>
        </w:tblPrEx>
        <w:trPr>
          <w:trHeight w:val="420"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D8D8D8"/>
          </w:tcPr>
          <w:p>
            <w:pPr>
              <w:widowControl/>
              <w:jc w:val="left"/>
              <w:textAlignment w:val="top"/>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流动性比例</w:t>
            </w:r>
          </w:p>
        </w:tc>
      </w:tr>
      <w:tr>
        <w:tblPrEx>
          <w:tblCellMar>
            <w:top w:w="0" w:type="dxa"/>
            <w:left w:w="108" w:type="dxa"/>
            <w:bottom w:w="0" w:type="dxa"/>
            <w:right w:w="108" w:type="dxa"/>
          </w:tblCellMar>
        </w:tblPrEx>
        <w:trPr>
          <w:trHeight w:val="4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21</w:t>
            </w:r>
          </w:p>
        </w:tc>
        <w:tc>
          <w:tcPr>
            <w:tcW w:w="4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流动性比例（%）</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56.30 </w:t>
            </w:r>
          </w:p>
        </w:tc>
      </w:tr>
    </w:tbl>
    <w:p>
      <w:pPr>
        <w:widowControl/>
        <w:jc w:val="left"/>
        <w:rPr>
          <w:rFonts w:ascii="黑体" w:hAnsi="黑体" w:eastAsia="黑体" w:cs="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176184"/>
    <w:rsid w:val="001F367C"/>
    <w:rsid w:val="002D7E10"/>
    <w:rsid w:val="0049605D"/>
    <w:rsid w:val="005012F4"/>
    <w:rsid w:val="00A44058"/>
    <w:rsid w:val="00A66EEE"/>
    <w:rsid w:val="00B15B72"/>
    <w:rsid w:val="00B50C5D"/>
    <w:rsid w:val="00D239E8"/>
    <w:rsid w:val="00E91A62"/>
    <w:rsid w:val="01D54D98"/>
    <w:rsid w:val="03D9122A"/>
    <w:rsid w:val="07926EDC"/>
    <w:rsid w:val="0A4D56E8"/>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7323CD"/>
    <w:rsid w:val="56051FA0"/>
    <w:rsid w:val="56757125"/>
    <w:rsid w:val="58A7793C"/>
    <w:rsid w:val="59464DA9"/>
    <w:rsid w:val="5A9F6E67"/>
    <w:rsid w:val="5E4A08DE"/>
    <w:rsid w:val="600E52CC"/>
    <w:rsid w:val="60CB256C"/>
    <w:rsid w:val="624D53FA"/>
    <w:rsid w:val="65F362B8"/>
    <w:rsid w:val="686B0388"/>
    <w:rsid w:val="69937B96"/>
    <w:rsid w:val="6B251781"/>
    <w:rsid w:val="6F6B60B9"/>
    <w:rsid w:val="74E219D2"/>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uiPriority w:val="0"/>
  </w:style>
  <w:style w:type="paragraph" w:styleId="3">
    <w:name w:val="toc 2"/>
    <w:basedOn w:val="1"/>
    <w:next w:val="1"/>
    <w:uiPriority w:val="0"/>
    <w:pPr>
      <w:ind w:left="420" w:leftChars="200"/>
    </w:pPr>
  </w:style>
  <w:style w:type="paragraph" w:customStyle="1" w:styleId="6">
    <w:name w:val="WPSOffice手动目录 1"/>
    <w:autoRedefine/>
    <w:qFormat/>
    <w:uiPriority w:val="0"/>
    <w:rPr>
      <w:rFonts w:ascii="Times New Roman" w:hAnsi="Times New Roman" w:eastAsia="宋体" w:cs="Times New Roman"/>
      <w:lang w:val="en-US" w:eastAsia="zh-CN" w:bidi="ar-SA"/>
    </w:rPr>
  </w:style>
  <w:style w:type="paragraph" w:customStyle="1" w:styleId="7">
    <w:name w:val="WPSOffice手动目录 2"/>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0625b0-180b-4e5e-83a0-8736dcd4bb68}"/>
        <w:style w:val=""/>
        <w:category>
          <w:name w:val="常规"/>
          <w:gallery w:val="placeholder"/>
        </w:category>
        <w:types>
          <w:type w:val="bbPlcHdr"/>
        </w:types>
        <w:behaviors>
          <w:behavior w:val="content"/>
        </w:behaviors>
        <w:description w:val=""/>
        <w:guid w:val="{8A0625B0-180B-4E5E-83A0-8736DCD4BB68}"/>
      </w:docPartPr>
      <w:docPartBody>
        <w:p>
          <w:r>
            <w:rPr>
              <w:color w:val="808080"/>
            </w:rPr>
            <w:t>单击此处输入文字。</w:t>
          </w:r>
        </w:p>
      </w:docPartBody>
    </w:docPart>
    <w:docPart>
      <w:docPartPr>
        <w:name w:val="{784ec47e-fc7a-4d75-91aa-84ae90c91146}"/>
        <w:style w:val=""/>
        <w:category>
          <w:name w:val="常规"/>
          <w:gallery w:val="placeholder"/>
        </w:category>
        <w:types>
          <w:type w:val="bbPlcHdr"/>
        </w:types>
        <w:behaviors>
          <w:behavior w:val="content"/>
        </w:behaviors>
        <w:description w:val=""/>
        <w:guid w:val="{784EC47E-FC7A-4D75-91AA-84AE90C91146}"/>
      </w:docPartPr>
      <w:docPartBody>
        <w:p>
          <w:r>
            <w:rPr>
              <w:color w:val="808080"/>
            </w:rPr>
            <w:t>单击此处输入文字。</w:t>
          </w:r>
        </w:p>
      </w:docPartBody>
    </w:docPart>
    <w:docPart>
      <w:docPartPr>
        <w:name w:val="{be756c22-186d-42e9-b19c-78bd165194b8}"/>
        <w:style w:val=""/>
        <w:category>
          <w:name w:val="常规"/>
          <w:gallery w:val="placeholder"/>
        </w:category>
        <w:types>
          <w:type w:val="bbPlcHdr"/>
        </w:types>
        <w:behaviors>
          <w:behavior w:val="content"/>
        </w:behaviors>
        <w:description w:val=""/>
        <w:guid w:val="{BE756C22-186D-42E9-B19C-78BD165194B8}"/>
      </w:docPartPr>
      <w:docPartBody>
        <w:p>
          <w:r>
            <w:rPr>
              <w:color w:val="808080"/>
            </w:rPr>
            <w:t>单击此处输入文字。</w:t>
          </w:r>
        </w:p>
      </w:docPartBody>
    </w:docPart>
    <w:docPart>
      <w:docPartPr>
        <w:name w:val="{5b4ea0a5-89f6-44a2-adf5-eed181162a0f}"/>
        <w:style w:val=""/>
        <w:category>
          <w:name w:val="常规"/>
          <w:gallery w:val="placeholder"/>
        </w:category>
        <w:types>
          <w:type w:val="bbPlcHdr"/>
        </w:types>
        <w:behaviors>
          <w:behavior w:val="content"/>
        </w:behaviors>
        <w:description w:val=""/>
        <w:guid w:val="{5B4EA0A5-89F6-44A2-ADF5-EED181162A0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41DB1"/>
    <w:rsid w:val="00141DB1"/>
    <w:rsid w:val="00A6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610</Words>
  <Characters>551</Characters>
  <Lines>4</Lines>
  <Paragraphs>2</Paragraphs>
  <TotalTime>35</TotalTime>
  <ScaleCrop>false</ScaleCrop>
  <LinksUpToDate>false</LinksUpToDate>
  <CharactersWithSpaces>1159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2022-12-02T02:22:00Z</dcterms:created>
  <dc:creator>jiayuanyuan</dc:creator>
  <cp:lastModifiedBy>jiayuanyuan</cp:lastModifiedBy>
  <dcterms:modified xsi:type="dcterms:W3CDTF">2024-04-30T06:17:50Z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CB4C52D10F784BDCADAB12CC142ACC48_13</vt:lpwstr>
  </property>
</Properties>
</file>